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3" w:rsidRPr="00625D83" w:rsidRDefault="00625D83" w:rsidP="00625D83">
      <w:pPr>
        <w:widowControl/>
        <w:shd w:val="clear" w:color="auto" w:fill="FFFFFF"/>
        <w:spacing w:line="758" w:lineRule="atLeast"/>
        <w:jc w:val="center"/>
        <w:outlineLvl w:val="1"/>
        <w:rPr>
          <w:rFonts w:ascii="Microsoft Yahei" w:eastAsia="宋体" w:hAnsi="Microsoft Yahei" w:cs="宋体"/>
          <w:color w:val="2E2E2E"/>
          <w:kern w:val="0"/>
          <w:sz w:val="34"/>
          <w:szCs w:val="34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34"/>
          <w:szCs w:val="34"/>
        </w:rPr>
        <w:t>国家税务总局</w:t>
      </w:r>
    </w:p>
    <w:p w:rsidR="00625D83" w:rsidRPr="00625D83" w:rsidRDefault="00625D83" w:rsidP="00625D83">
      <w:pPr>
        <w:widowControl/>
        <w:shd w:val="clear" w:color="auto" w:fill="FFFFFF"/>
        <w:spacing w:line="720" w:lineRule="atLeast"/>
        <w:jc w:val="center"/>
        <w:outlineLvl w:val="0"/>
        <w:rPr>
          <w:rFonts w:ascii="Microsoft Yahei" w:eastAsia="宋体" w:hAnsi="Microsoft Yahei" w:cs="宋体"/>
          <w:color w:val="333333"/>
          <w:kern w:val="36"/>
          <w:sz w:val="46"/>
          <w:szCs w:val="46"/>
        </w:rPr>
      </w:pPr>
      <w:r w:rsidRPr="00625D83">
        <w:rPr>
          <w:rFonts w:ascii="Microsoft Yahei" w:eastAsia="宋体" w:hAnsi="Microsoft Yahei" w:cs="宋体"/>
          <w:color w:val="333333"/>
          <w:kern w:val="36"/>
          <w:sz w:val="46"/>
          <w:szCs w:val="46"/>
        </w:rPr>
        <w:t>关于全面实施新个人所得税法若干征管衔接问题的公告</w:t>
      </w:r>
    </w:p>
    <w:p w:rsidR="00625D83" w:rsidRPr="00625D83" w:rsidRDefault="00625D83" w:rsidP="00625D83">
      <w:pPr>
        <w:widowControl/>
        <w:shd w:val="clear" w:color="auto" w:fill="FFFFFF"/>
        <w:spacing w:after="284" w:line="379" w:lineRule="atLeast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625D83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发布日期：</w:t>
      </w:r>
      <w:r w:rsidRPr="00625D83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2018-12-20 15:44</w:t>
      </w:r>
    </w:p>
    <w:p w:rsidR="00625D83" w:rsidRPr="00625D83" w:rsidRDefault="00625D83" w:rsidP="00625D83">
      <w:pPr>
        <w:widowControl/>
        <w:shd w:val="clear" w:color="auto" w:fill="FFFFFF"/>
        <w:spacing w:line="379" w:lineRule="atLeast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hyperlink r:id="rId4" w:tooltip="打印本页" w:history="1"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【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打印本页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】</w:t>
        </w:r>
      </w:hyperlink>
      <w:r w:rsidRPr="00625D83">
        <w:rPr>
          <w:rFonts w:ascii="Microsoft Yahei" w:eastAsia="宋体" w:hAnsi="Microsoft Yahei" w:cs="宋体"/>
          <w:color w:val="333333"/>
          <w:kern w:val="0"/>
          <w:sz w:val="27"/>
        </w:rPr>
        <w:t> </w:t>
      </w:r>
      <w:hyperlink r:id="rId5" w:tooltip="关闭" w:history="1"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【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关闭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625D83">
          <w:rPr>
            <w:rFonts w:ascii="Microsoft Yahei" w:eastAsia="宋体" w:hAnsi="Microsoft Yahei" w:cs="宋体"/>
            <w:color w:val="2E2E2E"/>
            <w:kern w:val="0"/>
            <w:sz w:val="23"/>
          </w:rPr>
          <w:t>】</w:t>
        </w:r>
      </w:hyperlink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333333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文号：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 xml:space="preserve"> 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国家税务总局公告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2018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年第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56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号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333333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发文单位：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 xml:space="preserve"> 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国家税务总局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br/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发文日期：</w:t>
      </w:r>
      <w:r w:rsidRPr="00625D83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 xml:space="preserve"> 2018-12-19</w:t>
      </w:r>
    </w:p>
    <w:p w:rsidR="00625D83" w:rsidRPr="00625D83" w:rsidRDefault="00625D83" w:rsidP="00625D83">
      <w:pPr>
        <w:widowControl/>
        <w:shd w:val="clear" w:color="auto" w:fill="FFFFFF"/>
        <w:spacing w:line="379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625D83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br/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为贯彻落实新修改的《中华人民共和国个人所得税法》（以下简称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“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新个人所得税法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），现就全面实施新个人所得税法后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扣缴义务人对居民个人工资、薪金所得，劳务报酬所得，稿酬所得，特许权使用费所得预扣预缴个人所得税的计算方法，对非居民个人上述四项所得扣缴个人所得税的计算方法，公告如下：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625D83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一、居民个人预扣预缴方法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扣缴义务人向居民个人支付工资、薪金所得，劳务报酬所得，稿酬所得，特许权使用费所得时，按以下方法预扣预缴个人所得税，并向主管税务机关报送《个人所得税扣缴申报表》（见附件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）。年度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预扣预缴税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额与年度应纳税额不一致的，由居民个人于次年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日至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30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日向主管税务机关办理综合所得年度汇算清缴，税款多退少补。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（一）扣缴义务人向居民个人支付工资、薪金所得时，应当按照累计预扣法计算预扣税款，并按月办理全员全额扣缴申报。具体计算公式如下：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本期应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预扣预缴税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=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（累计预扣预缴应纳税所得额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×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预扣率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速算扣除数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)-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累计减免税额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累计已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预扣预缴税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累计预扣预缴应纳税所得额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=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累计收入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累计免税收入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累计减除费用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累计专项扣除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累计专项附加扣除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累计依法确定的其他扣除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其中：累计减除费用，按照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5000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元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/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月乘以纳税人当年截至本月在本单位的任职受雇月份数计算。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上述公式中，计算居民个人工资、薪金所得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预扣预缴税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额的预扣率、速算扣除数，按《个人所得税预扣率表一》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(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见附件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）执行。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（二）扣缴义务人向居民个人支付劳务报酬所得、稿酬所得、特许权使用费所得，按次或者按月预扣预缴个人所得税。具体预扣预缴方法如下：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劳务报酬所得、稿酬所得、特许权使用费所得以收入减除费用后的余额为收入额。其中，稿酬所得的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收入额减按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百分之七十计算。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减除费用：劳务报酬所得、稿酬所得、特许权使用费所得每次收入不超过四千元的，减除费用按八百元计算；每次收入四千元以上的，减除费用按百分之二十计算。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应纳税所得额：劳务报酬所得、稿酬所得、特许权使用费所得，以每次收入额为预扣预缴应纳税所得额。劳务报酬所得适用百分之二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>十至百分之四十的超额累进预扣率（见附件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《个人所得税预扣率表二》），稿酬所得、特许权使用费所得适用百分之二十的比例预扣率。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劳务报酬所得应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预扣预缴税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=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预扣预缴应纳税所得额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×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预扣率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速算扣除数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稿酬所得、特许权使用费所得应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预扣预缴税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=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预扣预缴应纳税所得额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×20%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625D83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二、非居民个人扣缴方法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扣缴义务人向非居民个人支付工资、薪金所得，劳务报酬所得，稿酬所得和特许权使用费所得时，应当按以下方法按月或者按次代扣代缴个人所得税：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非居民个人的工资、薪金所得，以每月收入额减除费用五千元后的余额为应纳税所得额；劳务报酬所得、稿酬所得、特许权使用费所得，以每次收入额为应纳税所得额，适用按月换算后的非居民个人月度税率表（见附件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《个人所得税税率表三》）计算应纳税额。其中，劳务报酬所得、稿酬所得、特许权使用费所得以收入减除百分之二十的费用后的余额为收入额。稿酬所得的</w:t>
      </w:r>
      <w:proofErr w:type="gramStart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收入额减按</w:t>
      </w:r>
      <w:proofErr w:type="gramEnd"/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百分之七十计算。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非居民个人工资、薪金所得，劳务报酬所得，稿酬所得，特许权使用费所得应纳税额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=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应纳税所得额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×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税率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-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速算扣除数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本公告自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2019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年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日起施行。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特此公告。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附件：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1.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《个人所得税扣缴申报表》及填表说明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      2.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个人所得税税率表及预扣率表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righ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国家税务总局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  </w:t>
      </w:r>
    </w:p>
    <w:p w:rsidR="00625D83" w:rsidRPr="00625D83" w:rsidRDefault="00625D83" w:rsidP="00625D83">
      <w:pPr>
        <w:widowControl/>
        <w:shd w:val="clear" w:color="auto" w:fill="FFFFFF"/>
        <w:spacing w:line="568" w:lineRule="atLeast"/>
        <w:jc w:val="righ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2018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年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12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19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</w:t>
      </w:r>
      <w:r w:rsidRPr="00625D83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 </w:t>
      </w:r>
    </w:p>
    <w:p w:rsidR="00E97E14" w:rsidRPr="00625D83" w:rsidRDefault="00625D83"/>
    <w:sectPr w:rsidR="00E97E14" w:rsidRPr="00625D83" w:rsidSect="00D9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D83"/>
    <w:rsid w:val="005F3510"/>
    <w:rsid w:val="00625D83"/>
    <w:rsid w:val="00D95467"/>
    <w:rsid w:val="00F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5D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25D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5D8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25D8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dden-xs">
    <w:name w:val="hidden-xs"/>
    <w:basedOn w:val="a0"/>
    <w:rsid w:val="00625D83"/>
  </w:style>
  <w:style w:type="character" w:styleId="a4">
    <w:name w:val="Hyperlink"/>
    <w:basedOn w:val="a0"/>
    <w:uiPriority w:val="99"/>
    <w:semiHidden/>
    <w:unhideWhenUsed/>
    <w:rsid w:val="00625D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D83"/>
  </w:style>
  <w:style w:type="character" w:styleId="a5">
    <w:name w:val="Strong"/>
    <w:basedOn w:val="a0"/>
    <w:uiPriority w:val="22"/>
    <w:qFormat/>
    <w:rsid w:val="00625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4432">
          <w:marLeft w:val="0"/>
          <w:marRight w:val="0"/>
          <w:marTop w:val="189"/>
          <w:marBottom w:val="0"/>
          <w:divBdr>
            <w:top w:val="single" w:sz="8" w:space="2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opener=null;window.open('','_self');window.close()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2018-12-29T06:23:00Z</dcterms:created>
  <dcterms:modified xsi:type="dcterms:W3CDTF">2018-12-29T06:26:00Z</dcterms:modified>
</cp:coreProperties>
</file>