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方正小标宋简体" w:eastAsia="方正小标宋简体"/>
          <w:sz w:val="36"/>
          <w:szCs w:val="36"/>
        </w:rPr>
      </w:pPr>
    </w:p>
    <w:tbl>
      <w:tblPr>
        <w:tblStyle w:val="8"/>
        <w:tblW w:w="8740" w:type="dxa"/>
        <w:jc w:val="center"/>
        <w:tblInd w:w="-106" w:type="dxa"/>
        <w:tblLayout w:type="fixed"/>
        <w:tblCellMar>
          <w:top w:w="0" w:type="dxa"/>
          <w:left w:w="108" w:type="dxa"/>
          <w:bottom w:w="0" w:type="dxa"/>
          <w:right w:w="108" w:type="dxa"/>
        </w:tblCellMar>
      </w:tblPr>
      <w:tblGrid>
        <w:gridCol w:w="8740"/>
      </w:tblGrid>
      <w:tr>
        <w:tblPrEx>
          <w:tblLayout w:type="fixed"/>
          <w:tblCellMar>
            <w:top w:w="0" w:type="dxa"/>
            <w:left w:w="108" w:type="dxa"/>
            <w:bottom w:w="0" w:type="dxa"/>
            <w:right w:w="108" w:type="dxa"/>
          </w:tblCellMar>
        </w:tblPrEx>
        <w:trPr>
          <w:trHeight w:val="1911" w:hRule="atLeast"/>
          <w:jc w:val="center"/>
        </w:trPr>
        <w:tc>
          <w:tcPr>
            <w:tcW w:w="8740" w:type="dxa"/>
            <w:vAlign w:val="center"/>
          </w:tcPr>
          <w:p>
            <w:pPr>
              <w:jc w:val="distribute"/>
              <w:rPr>
                <w:rFonts w:ascii="方正小标宋简体" w:eastAsia="方正小标宋简体"/>
                <w:color w:val="FF0000"/>
                <w:sz w:val="76"/>
                <w:szCs w:val="76"/>
              </w:rPr>
            </w:pPr>
            <w:r>
              <w:rPr>
                <w:rFonts w:hint="eastAsia" w:ascii="方正小标宋简体" w:eastAsia="方正小标宋简体" w:cs="方正小标宋简体"/>
                <w:color w:val="FF0000"/>
                <w:w w:val="80"/>
                <w:sz w:val="56"/>
                <w:szCs w:val="56"/>
              </w:rPr>
              <w:t>中共上海城建职业学院</w:t>
            </w:r>
            <w:r>
              <w:rPr>
                <w:rFonts w:hint="eastAsia" w:ascii="方正小标宋简体" w:eastAsia="方正小标宋简体" w:cs="方正小标宋简体"/>
                <w:color w:val="FF0000"/>
                <w:w w:val="80"/>
                <w:sz w:val="56"/>
                <w:szCs w:val="56"/>
                <w:lang w:eastAsia="zh-CN"/>
              </w:rPr>
              <w:t>纪律检查委员会</w:t>
            </w:r>
            <w:r>
              <w:rPr>
                <w:rFonts w:hint="eastAsia" w:ascii="方正小标宋简体" w:eastAsia="方正小标宋简体" w:cs="方正小标宋简体"/>
                <w:color w:val="FF0000"/>
                <w:w w:val="80"/>
                <w:sz w:val="56"/>
                <w:szCs w:val="56"/>
              </w:rPr>
              <w:t>文件</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宋体" w:eastAsia="黑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宋体" w:eastAsia="黑体"/>
          <w:color w:val="000000"/>
          <w:kern w:val="0"/>
          <w:sz w:val="30"/>
          <w:szCs w:val="30"/>
        </w:rPr>
      </w:pPr>
    </w:p>
    <w:tbl>
      <w:tblPr>
        <w:tblStyle w:val="8"/>
        <w:tblW w:w="9080" w:type="dxa"/>
        <w:jc w:val="center"/>
        <w:tblInd w:w="0" w:type="dxa"/>
        <w:tblLayout w:type="fixed"/>
        <w:tblCellMar>
          <w:top w:w="0" w:type="dxa"/>
          <w:left w:w="108" w:type="dxa"/>
          <w:bottom w:w="0" w:type="dxa"/>
          <w:right w:w="108" w:type="dxa"/>
        </w:tblCellMar>
      </w:tblPr>
      <w:tblGrid>
        <w:gridCol w:w="2410"/>
        <w:gridCol w:w="4350"/>
        <w:gridCol w:w="2320"/>
      </w:tblGrid>
      <w:tr>
        <w:tblPrEx>
          <w:tblLayout w:type="fixed"/>
          <w:tblCellMar>
            <w:top w:w="0" w:type="dxa"/>
            <w:left w:w="108" w:type="dxa"/>
            <w:bottom w:w="0" w:type="dxa"/>
            <w:right w:w="108" w:type="dxa"/>
          </w:tblCellMar>
        </w:tblPrEx>
        <w:trPr>
          <w:trHeight w:val="0" w:hRule="atLeast"/>
          <w:jc w:val="center"/>
        </w:trPr>
        <w:tc>
          <w:tcPr>
            <w:tcW w:w="2410" w:type="dxa"/>
            <w:tcBorders>
              <w:top w:val="nil"/>
              <w:left w:val="nil"/>
              <w:bottom w:val="single" w:color="FF0000" w:sz="8" w:space="0"/>
              <w:right w:val="nil"/>
            </w:tcBorders>
            <w:vAlign w:val="top"/>
          </w:tcPr>
          <w:p>
            <w:pPr>
              <w:spacing w:line="480" w:lineRule="exact"/>
              <w:ind w:firstLine="320" w:firstLineChars="100"/>
              <w:rPr>
                <w:rFonts w:hint="eastAsia" w:ascii="仿宋_GB2312" w:eastAsia="仿宋_GB2312"/>
                <w:sz w:val="30"/>
                <w:szCs w:val="30"/>
              </w:rPr>
            </w:pPr>
          </w:p>
        </w:tc>
        <w:tc>
          <w:tcPr>
            <w:tcW w:w="4350" w:type="dxa"/>
            <w:tcBorders>
              <w:top w:val="nil"/>
              <w:left w:val="nil"/>
              <w:bottom w:val="single" w:color="FF0000" w:sz="8" w:space="0"/>
              <w:right w:val="nil"/>
            </w:tcBorders>
            <w:vAlign w:val="top"/>
          </w:tcPr>
          <w:p>
            <w:pPr>
              <w:spacing w:line="480" w:lineRule="exact"/>
              <w:ind w:firstLine="320" w:firstLineChars="1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沪</w:t>
            </w:r>
            <w:r>
              <w:rPr>
                <w:rFonts w:hint="eastAsia" w:ascii="仿宋_GB2312" w:hAnsi="华文仿宋" w:eastAsia="仿宋_GB2312" w:cs="仿宋_GB2312"/>
                <w:sz w:val="32"/>
                <w:szCs w:val="32"/>
                <w:lang w:eastAsia="zh-CN"/>
              </w:rPr>
              <w:t>城建</w:t>
            </w:r>
            <w:r>
              <w:rPr>
                <w:rFonts w:hint="eastAsia" w:ascii="仿宋_GB2312" w:hAnsi="华文仿宋" w:eastAsia="仿宋_GB2312" w:cs="仿宋_GB2312"/>
                <w:sz w:val="32"/>
                <w:szCs w:val="32"/>
              </w:rPr>
              <w:t>院</w:t>
            </w:r>
            <w:r>
              <w:rPr>
                <w:rFonts w:hint="eastAsia" w:ascii="仿宋_GB2312" w:hAnsi="华文仿宋" w:eastAsia="仿宋_GB2312" w:cs="仿宋_GB2312"/>
                <w:sz w:val="32"/>
                <w:szCs w:val="32"/>
                <w:lang w:eastAsia="zh-CN"/>
              </w:rPr>
              <w:t>纪</w:t>
            </w:r>
            <w:bookmarkStart w:id="0" w:name="_GoBack"/>
            <w:bookmarkEnd w:id="0"/>
            <w:r>
              <w:rPr>
                <w:rFonts w:hint="eastAsia" w:ascii="仿宋_GB2312" w:hAnsi="华文仿宋" w:eastAsia="仿宋_GB2312" w:cs="仿宋_GB2312"/>
                <w:sz w:val="32"/>
                <w:szCs w:val="32"/>
              </w:rPr>
              <w:t>〔</w:t>
            </w:r>
            <w:r>
              <w:rPr>
                <w:rFonts w:ascii="仿宋_GB2312" w:hAnsi="华文仿宋" w:eastAsia="仿宋_GB2312" w:cs="仿宋_GB2312"/>
                <w:sz w:val="32"/>
                <w:szCs w:val="32"/>
              </w:rPr>
              <w:t>201</w:t>
            </w:r>
            <w:r>
              <w:rPr>
                <w:rFonts w:hint="eastAsia" w:ascii="仿宋_GB2312" w:hAnsi="华文仿宋" w:eastAsia="仿宋_GB2312" w:cs="仿宋_GB2312"/>
                <w:sz w:val="32"/>
                <w:szCs w:val="32"/>
                <w:lang w:val="en-US" w:eastAsia="zh-CN"/>
              </w:rPr>
              <w:t>7</w:t>
            </w:r>
            <w:r>
              <w:rPr>
                <w:rFonts w:hint="eastAsia" w:ascii="仿宋_GB2312" w:hAnsi="华文仿宋" w:eastAsia="仿宋_GB2312" w:cs="仿宋_GB2312"/>
                <w:sz w:val="32"/>
                <w:szCs w:val="32"/>
              </w:rPr>
              <w:t>〕</w:t>
            </w:r>
            <w:r>
              <w:rPr>
                <w:rFonts w:hint="eastAsia" w:ascii="仿宋_GB2312" w:hAnsi="华文仿宋" w:eastAsia="仿宋_GB2312" w:cs="仿宋_GB2312"/>
                <w:sz w:val="32"/>
                <w:szCs w:val="32"/>
                <w:lang w:val="en-US" w:eastAsia="zh-CN"/>
              </w:rPr>
              <w:t>2</w:t>
            </w:r>
            <w:r>
              <w:rPr>
                <w:rFonts w:hint="eastAsia" w:ascii="仿宋_GB2312" w:hAnsi="华文仿宋" w:eastAsia="仿宋_GB2312" w:cs="仿宋_GB2312"/>
                <w:sz w:val="32"/>
                <w:szCs w:val="32"/>
              </w:rPr>
              <w:t>号</w:t>
            </w:r>
          </w:p>
        </w:tc>
        <w:tc>
          <w:tcPr>
            <w:tcW w:w="2320" w:type="dxa"/>
            <w:tcBorders>
              <w:top w:val="nil"/>
              <w:left w:val="nil"/>
              <w:bottom w:val="single" w:color="FF0000" w:sz="8" w:space="0"/>
              <w:right w:val="nil"/>
            </w:tcBorders>
            <w:vAlign w:val="top"/>
          </w:tcPr>
          <w:p>
            <w:pPr>
              <w:spacing w:line="480" w:lineRule="exact"/>
              <w:ind w:firstLine="320" w:firstLineChars="100"/>
              <w:rPr>
                <w:rFonts w:hint="eastAsia" w:ascii="仿宋_GB2312" w:hAnsi="华文仿宋" w:eastAsia="仿宋_GB2312" w:cs="仿宋_GB2312"/>
                <w:sz w:val="32"/>
                <w:szCs w:val="32"/>
              </w:rPr>
            </w:pPr>
          </w:p>
        </w:tc>
      </w:tr>
    </w:tbl>
    <w:p>
      <w:pPr>
        <w:jc w:val="center"/>
        <w:rPr>
          <w:rFonts w:hint="eastAsia" w:ascii="仿宋_GB2312" w:eastAsia="仿宋_GB2312" w:cs="仿宋_GB2312"/>
          <w:sz w:val="30"/>
          <w:szCs w:val="30"/>
        </w:rPr>
      </w:pPr>
    </w:p>
    <w:p>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444444"/>
          <w:spacing w:val="0"/>
          <w:sz w:val="44"/>
          <w:szCs w:val="44"/>
          <w:lang w:eastAsia="zh-CN"/>
        </w:rPr>
      </w:pPr>
      <w:r>
        <w:rPr>
          <w:rFonts w:hint="eastAsia" w:ascii="方正小标宋简体" w:hAnsi="方正小标宋简体" w:eastAsia="方正小标宋简体" w:cs="方正小标宋简体"/>
          <w:b w:val="0"/>
          <w:bCs/>
          <w:color w:val="444444"/>
          <w:spacing w:val="0"/>
          <w:sz w:val="44"/>
          <w:szCs w:val="44"/>
          <w:lang w:eastAsia="zh-CN"/>
        </w:rPr>
        <w:t>关于印发《中共上海城建职业学院纪律检查</w:t>
      </w:r>
    </w:p>
    <w:p>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color w:val="444444"/>
          <w:sz w:val="36"/>
          <w:szCs w:val="36"/>
          <w:lang w:eastAsia="zh-CN"/>
        </w:rPr>
      </w:pPr>
      <w:r>
        <w:rPr>
          <w:rFonts w:hint="eastAsia" w:ascii="方正小标宋简体" w:hAnsi="方正小标宋简体" w:eastAsia="方正小标宋简体" w:cs="方正小标宋简体"/>
          <w:b w:val="0"/>
          <w:bCs/>
          <w:color w:val="444444"/>
          <w:spacing w:val="0"/>
          <w:sz w:val="44"/>
          <w:szCs w:val="44"/>
          <w:lang w:eastAsia="zh-CN"/>
        </w:rPr>
        <w:t>委员会落实党风廉政建设监督责任实施细则》</w:t>
      </w:r>
      <w:r>
        <w:rPr>
          <w:rFonts w:hint="eastAsia" w:ascii="方正小标宋简体" w:hAnsi="方正小标宋简体" w:eastAsia="方正小标宋简体" w:cs="方正小标宋简体"/>
          <w:b w:val="0"/>
          <w:bCs/>
          <w:color w:val="444444"/>
          <w:sz w:val="44"/>
          <w:szCs w:val="44"/>
          <w:lang w:val="en-US" w:eastAsia="zh-CN"/>
        </w:rPr>
        <w:t>的通知</w:t>
      </w:r>
    </w:p>
    <w:p>
      <w:pPr>
        <w:spacing w:line="520" w:lineRule="exact"/>
        <w:jc w:val="center"/>
        <w:rPr>
          <w:rFonts w:hint="eastAsia" w:ascii="华文中宋" w:hAnsi="华文中宋" w:eastAsia="华文中宋"/>
          <w:b/>
          <w:bCs/>
          <w:color w:val="auto"/>
          <w:sz w:val="36"/>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各党（总）支部：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《中共上海城建职业学院纪律检查委员会落实党风廉政建设监督责任实施细则》经研究通过，现印发给你们，请各党（总）支部参照执行。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894" w:leftChars="303" w:right="0" w:rightChars="0" w:hanging="126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附件：1.中共上海城建职业学院纪律检查委员会落实党风廉政建设监督责任实施细则</w:t>
      </w:r>
    </w:p>
    <w:p>
      <w:pPr>
        <w:keepNext w:val="0"/>
        <w:keepLines w:val="0"/>
        <w:pageBreakBefore w:val="0"/>
        <w:widowControl w:val="0"/>
        <w:kinsoku/>
        <w:wordWrap/>
        <w:overflowPunct/>
        <w:topLinePunct w:val="0"/>
        <w:autoSpaceDE/>
        <w:autoSpaceDN/>
        <w:bidi w:val="0"/>
        <w:adjustRightInd/>
        <w:snapToGrid/>
        <w:spacing w:line="600" w:lineRule="exact"/>
        <w:ind w:left="1896" w:leftChars="304" w:right="0" w:rightChars="0" w:hanging="126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w:t>
      </w:r>
      <w:r>
        <w:rPr>
          <w:rFonts w:hint="eastAsia" w:ascii="仿宋_GB2312" w:eastAsia="仿宋_GB2312"/>
          <w:color w:val="auto"/>
          <w:spacing w:val="-11"/>
          <w:sz w:val="32"/>
          <w:szCs w:val="32"/>
          <w:lang w:val="en-US" w:eastAsia="zh-CN"/>
        </w:rPr>
        <w:t>上海城建职业学院党风廉政建设纪律检查委员会监督</w:t>
      </w:r>
      <w:r>
        <w:rPr>
          <w:rFonts w:hint="eastAsia" w:ascii="仿宋_GB2312" w:eastAsia="仿宋_GB2312"/>
          <w:color w:val="auto"/>
          <w:sz w:val="32"/>
          <w:szCs w:val="32"/>
          <w:lang w:val="en-US" w:eastAsia="zh-CN"/>
        </w:rPr>
        <w:t>责任清单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中共上海城建职业学院</w:t>
      </w:r>
      <w:r>
        <w:rPr>
          <w:rFonts w:hint="eastAsia" w:ascii="仿宋_GB2312" w:eastAsia="仿宋_GB2312"/>
          <w:color w:val="auto"/>
          <w:sz w:val="32"/>
          <w:szCs w:val="32"/>
          <w:lang w:val="en-US" w:eastAsia="zh-CN"/>
        </w:rPr>
        <w:t>纪律检查</w:t>
      </w:r>
      <w:r>
        <w:rPr>
          <w:rFonts w:hint="eastAsia" w:ascii="仿宋_GB2312" w:eastAsia="仿宋_GB2312"/>
          <w:color w:val="auto"/>
          <w:sz w:val="32"/>
          <w:szCs w:val="32"/>
          <w:lang w:eastAsia="zh-CN"/>
        </w:rPr>
        <w:t>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eastAsia="仿宋_GB2312"/>
          <w:color w:val="auto"/>
          <w:sz w:val="32"/>
          <w:szCs w:val="32"/>
          <w:lang w:eastAsia="zh-CN"/>
        </w:rPr>
        <w:t xml:space="preserve">                             2017年</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月</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pBdr>
          <w:top w:val="single" w:color="auto" w:sz="4" w:space="1"/>
          <w:bottom w:val="single" w:color="auto" w:sz="4" w:space="1"/>
        </w:pBdr>
        <w:ind w:firstLine="140" w:firstLineChars="50"/>
        <w:rPr>
          <w:rFonts w:ascii="仿宋_GB2312" w:eastAsia="仿宋_GB2312"/>
          <w:sz w:val="28"/>
          <w:szCs w:val="28"/>
        </w:rPr>
      </w:pP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上海城建职业学院办公室</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201</w:t>
      </w:r>
      <w:r>
        <w:rPr>
          <w:rFonts w:hint="eastAsia" w:ascii="仿宋_GB2312" w:eastAsia="仿宋_GB2312" w:cs="仿宋_GB2312"/>
          <w:sz w:val="28"/>
          <w:szCs w:val="28"/>
          <w:lang w:val="en-US" w:eastAsia="zh-CN"/>
        </w:rPr>
        <w:t>7</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日印发</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1</w:t>
      </w:r>
    </w:p>
    <w:p>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444444"/>
          <w:spacing w:val="0"/>
          <w:sz w:val="44"/>
          <w:szCs w:val="44"/>
          <w:lang w:eastAsia="zh-CN"/>
        </w:rPr>
      </w:pPr>
      <w:r>
        <w:rPr>
          <w:rFonts w:hint="eastAsia" w:ascii="方正小标宋简体" w:hAnsi="方正小标宋简体" w:eastAsia="方正小标宋简体" w:cs="方正小标宋简体"/>
          <w:b w:val="0"/>
          <w:bCs/>
          <w:color w:val="444444"/>
          <w:spacing w:val="0"/>
          <w:sz w:val="44"/>
          <w:szCs w:val="44"/>
          <w:lang w:eastAsia="zh-CN"/>
        </w:rPr>
        <w:t>中共上海城建职业学院纪律检查委员会</w:t>
      </w:r>
    </w:p>
    <w:p>
      <w:pPr>
        <w:pStyle w:val="5"/>
        <w:keepNext w:val="0"/>
        <w:keepLines w:val="0"/>
        <w:pageBreakBefore w:val="0"/>
        <w:widowControl/>
        <w:kinsoku/>
        <w:wordWrap/>
        <w:overflowPunct/>
        <w:topLinePunct w:val="0"/>
        <w:autoSpaceDE/>
        <w:autoSpaceDN/>
        <w:bidi w:val="0"/>
        <w:adjustRightInd/>
        <w:snapToGrid/>
        <w:spacing w:before="75" w:beforeAutospacing="0" w:after="317" w:afterLines="10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color w:val="444444"/>
          <w:kern w:val="0"/>
          <w:sz w:val="36"/>
          <w:szCs w:val="36"/>
          <w:lang w:val="en-US" w:eastAsia="zh-CN" w:bidi="ar-SA"/>
        </w:rPr>
      </w:pPr>
      <w:r>
        <w:rPr>
          <w:rFonts w:hint="eastAsia" w:ascii="方正小标宋简体" w:hAnsi="方正小标宋简体" w:eastAsia="方正小标宋简体" w:cs="方正小标宋简体"/>
          <w:b w:val="0"/>
          <w:bCs/>
          <w:color w:val="444444"/>
          <w:spacing w:val="0"/>
          <w:sz w:val="44"/>
          <w:szCs w:val="44"/>
          <w:lang w:eastAsia="zh-CN"/>
        </w:rPr>
        <w:t>落实党风廉政建设监督责任实施细则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eastAsia="仿宋_GB2312"/>
          <w:color w:val="auto"/>
          <w:sz w:val="32"/>
          <w:szCs w:val="32"/>
          <w:lang w:eastAsia="zh-CN"/>
        </w:rPr>
      </w:pPr>
      <w:r>
        <w:rPr>
          <w:rFonts w:hint="eastAsia" w:ascii="黑体" w:hAnsi="黑体" w:eastAsia="黑体" w:cs="黑体"/>
          <w:color w:val="auto"/>
          <w:sz w:val="32"/>
          <w:szCs w:val="32"/>
          <w:lang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r>
        <w:rPr>
          <w:rFonts w:ascii="宋体" w:hAnsi="宋体" w:eastAsia="宋体" w:cs="宋体"/>
          <w:bCs/>
          <w:kern w:val="0"/>
          <w:sz w:val="24"/>
          <w:szCs w:val="24"/>
        </w:rPr>
        <w:t>  </w:t>
      </w:r>
      <w:r>
        <w:rPr>
          <w:rFonts w:hint="eastAsia" w:ascii="仿宋_GB2312" w:eastAsia="仿宋_GB2312"/>
          <w:color w:val="auto"/>
          <w:sz w:val="32"/>
          <w:szCs w:val="32"/>
          <w:lang w:eastAsia="zh-CN"/>
        </w:rPr>
        <w:t xml:space="preserve"> </w:t>
      </w:r>
      <w:r>
        <w:rPr>
          <w:rFonts w:hint="eastAsia" w:ascii="楷体" w:hAnsi="楷体" w:eastAsia="楷体" w:cs="楷体"/>
          <w:b/>
          <w:bCs/>
          <w:color w:val="auto"/>
          <w:sz w:val="32"/>
          <w:szCs w:val="32"/>
          <w:lang w:eastAsia="zh-CN"/>
        </w:rPr>
        <w:t>第一条</w:t>
      </w:r>
      <w:r>
        <w:rPr>
          <w:rFonts w:hint="eastAsia" w:ascii="仿宋_GB2312" w:eastAsia="仿宋_GB2312"/>
          <w:color w:val="auto"/>
          <w:sz w:val="32"/>
          <w:szCs w:val="32"/>
          <w:lang w:eastAsia="zh-CN"/>
        </w:rPr>
        <w:t xml:space="preserve"> 为认真贯彻落实党风廉政建设纪委监督责任，强化监督执纪问责职能，深入推动学院反腐倡廉建设，根据《中国共产党章程》《中国共产党党内监督条例（试行）》《中共中央、国务院关于实行党风廉政建设责任制的规定》《中央纪委、教育部、监察部关于加强高等学校反腐倡廉建设的意见》等有关规定，结合学院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 xml:space="preserve">   </w:t>
      </w:r>
      <w:r>
        <w:rPr>
          <w:rFonts w:hint="eastAsia" w:ascii="仿宋_GB2312" w:eastAsia="仿宋_GB2312"/>
          <w:color w:val="auto"/>
          <w:sz w:val="32"/>
          <w:szCs w:val="32"/>
          <w:lang w:val="en-US" w:eastAsia="zh-CN"/>
        </w:rPr>
        <w:t xml:space="preserve">  </w:t>
      </w:r>
      <w:r>
        <w:rPr>
          <w:rFonts w:hint="eastAsia" w:ascii="楷体" w:hAnsi="楷体" w:eastAsia="楷体" w:cs="楷体"/>
          <w:b/>
          <w:bCs/>
          <w:color w:val="auto"/>
          <w:sz w:val="32"/>
          <w:szCs w:val="32"/>
          <w:lang w:eastAsia="zh-CN"/>
        </w:rPr>
        <w:t>第二条</w:t>
      </w:r>
      <w:r>
        <w:rPr>
          <w:rFonts w:hint="eastAsia" w:ascii="仿宋_GB2312" w:eastAsia="仿宋_GB2312"/>
          <w:color w:val="auto"/>
          <w:sz w:val="32"/>
          <w:szCs w:val="32"/>
          <w:lang w:eastAsia="zh-CN"/>
        </w:rPr>
        <w:t xml:space="preserve"> 纪委的主要职责是：协助党委加强党风廉政建设和组织协调反腐败工作，依据党纪党规对学院各级党组织及党员干部遵守和执行党章以及其他党内法规、遵守和执行党的路线方针</w:t>
      </w:r>
      <w:r>
        <w:rPr>
          <w:rFonts w:hint="eastAsia" w:ascii="仿宋_GB2312" w:eastAsia="仿宋_GB2312"/>
          <w:color w:val="auto"/>
          <w:spacing w:val="-6"/>
          <w:sz w:val="32"/>
          <w:szCs w:val="32"/>
          <w:lang w:eastAsia="zh-CN"/>
        </w:rPr>
        <w:t>政策和决议，以及学院重大决策部署等方面的情况进行监督检查。</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 xml:space="preserve">   </w:t>
      </w:r>
      <w:r>
        <w:rPr>
          <w:rFonts w:hint="eastAsia" w:ascii="仿宋_GB2312" w:eastAsia="仿宋_GB2312"/>
          <w:color w:val="auto"/>
          <w:sz w:val="32"/>
          <w:szCs w:val="32"/>
          <w:lang w:val="en-US" w:eastAsia="zh-CN"/>
        </w:rPr>
        <w:t xml:space="preserve"> </w:t>
      </w:r>
      <w:r>
        <w:rPr>
          <w:rFonts w:hint="eastAsia" w:ascii="楷体" w:hAnsi="楷体" w:eastAsia="楷体" w:cs="楷体"/>
          <w:b/>
          <w:bCs/>
          <w:color w:val="auto"/>
          <w:sz w:val="32"/>
          <w:szCs w:val="32"/>
          <w:lang w:eastAsia="zh-CN"/>
        </w:rPr>
        <w:t>第三条</w:t>
      </w:r>
      <w:r>
        <w:rPr>
          <w:rFonts w:hint="eastAsia" w:ascii="仿宋_GB2312" w:eastAsia="仿宋_GB2312"/>
          <w:color w:val="auto"/>
          <w:sz w:val="32"/>
          <w:szCs w:val="32"/>
          <w:lang w:eastAsia="zh-CN"/>
        </w:rPr>
        <w:t xml:space="preserve"> 坚持标本兼治、综合治理、惩防并举、注重预防，按照中央、市委的有关规定，采取有效的监督途径和手段，加强对权力运行的监督制约，协助学院党委并督促各部门、单位落实惩治和预防腐败工作各项任务，积极营造良好的校园教育生态，为学院各项事业持续健康发展提供坚强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第二章 主要监督职能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 xml:space="preserve">    </w:t>
      </w:r>
      <w:r>
        <w:rPr>
          <w:rFonts w:hint="eastAsia" w:ascii="楷体" w:hAnsi="楷体" w:eastAsia="楷体" w:cs="楷体"/>
          <w:b/>
          <w:bCs/>
          <w:color w:val="auto"/>
          <w:sz w:val="32"/>
          <w:szCs w:val="32"/>
          <w:lang w:eastAsia="zh-CN"/>
        </w:rPr>
        <w:t>第四条</w:t>
      </w:r>
      <w:r>
        <w:rPr>
          <w:rFonts w:hint="eastAsia" w:ascii="仿宋_GB2312" w:eastAsia="仿宋_GB2312"/>
          <w:color w:val="auto"/>
          <w:sz w:val="32"/>
          <w:szCs w:val="32"/>
          <w:lang w:eastAsia="zh-CN"/>
        </w:rPr>
        <w:t xml:space="preserve"> 加强组织协调。根据上级和学院的决策部署，结合实际向党委提出党风廉政建设和反腐败工作的建议，协助和督促党委研究有关重要问题，及时向党委和上级纪委报告有关工作情况。协助党委抓好党风廉政建设和反腐败工作任务分解和责任落实，组织协调检查考核工作。督促领导班子成员坚持“一岗双责”，抓好各自分管范围内的党风廉政建设和反腐败工作。督促各职能部门加强业务监管，推动纪检监察监督和职能部门业务监管的有机结合，研究制定廉政建设重点领域和关键环节的监督管理办法，加强对招生考试、科研经费、基建后勤、财务管理、招标采</w:t>
      </w:r>
      <w:r>
        <w:rPr>
          <w:rFonts w:hint="eastAsia" w:ascii="仿宋_GB2312" w:eastAsia="仿宋_GB2312"/>
          <w:color w:val="auto"/>
          <w:spacing w:val="-6"/>
          <w:sz w:val="32"/>
          <w:szCs w:val="32"/>
          <w:lang w:eastAsia="zh-CN"/>
        </w:rPr>
        <w:t>购、资产管理、选人用人等重点领域职能部门履行职责的监督工作。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  </w:t>
      </w:r>
      <w:r>
        <w:rPr>
          <w:rFonts w:hint="eastAsia" w:ascii="仿宋_GB2312" w:eastAsia="仿宋_GB2312"/>
          <w:color w:val="auto"/>
          <w:sz w:val="32"/>
          <w:szCs w:val="32"/>
          <w:lang w:val="en-US" w:eastAsia="zh-CN"/>
        </w:rPr>
        <w:t xml:space="preserve">   </w:t>
      </w:r>
      <w:r>
        <w:rPr>
          <w:rFonts w:hint="eastAsia" w:ascii="楷体" w:hAnsi="楷体" w:eastAsia="楷体" w:cs="楷体"/>
          <w:b/>
          <w:bCs/>
          <w:color w:val="auto"/>
          <w:sz w:val="32"/>
          <w:szCs w:val="32"/>
          <w:lang w:eastAsia="zh-CN"/>
        </w:rPr>
        <w:t>第五条</w:t>
      </w:r>
      <w:r>
        <w:rPr>
          <w:rFonts w:hint="eastAsia" w:ascii="仿宋_GB2312" w:eastAsia="仿宋_GB2312"/>
          <w:color w:val="auto"/>
          <w:sz w:val="32"/>
          <w:szCs w:val="32"/>
          <w:lang w:eastAsia="zh-CN"/>
        </w:rPr>
        <w:t xml:space="preserve"> 严明党的纪律。维护党章和其他党内法规，严格执行党的政治纪律、组织纪律、廉洁纪律、群众纪律、工作纪律、生活纪律等各项纪律。把党的纪律融入立德树人根本任务和教育教学改革之中，监督检查党的路线、方针、政策、决议的执行情况，以及对上级和学院重大决策部署的贯彻落实情况。严肃处理违反党的纪律行为，坚决克服组织涣散、纪律松弛问题。认真受理涉及党员、党组织及行政监察对象的检举、控告和申诉，保障党员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  </w:t>
      </w:r>
      <w:r>
        <w:rPr>
          <w:rFonts w:hint="eastAsia" w:ascii="仿宋_GB2312" w:eastAsia="仿宋_GB2312"/>
          <w:color w:val="auto"/>
          <w:sz w:val="32"/>
          <w:szCs w:val="32"/>
          <w:lang w:val="en-US" w:eastAsia="zh-CN"/>
        </w:rPr>
        <w:t xml:space="preserve">   </w:t>
      </w:r>
      <w:r>
        <w:rPr>
          <w:rFonts w:hint="eastAsia" w:ascii="楷体" w:hAnsi="楷体" w:eastAsia="楷体" w:cs="楷体"/>
          <w:b/>
          <w:bCs/>
          <w:color w:val="auto"/>
          <w:sz w:val="32"/>
          <w:szCs w:val="32"/>
          <w:lang w:eastAsia="zh-CN"/>
        </w:rPr>
        <w:t>第六条</w:t>
      </w:r>
      <w:r>
        <w:rPr>
          <w:rFonts w:hint="eastAsia" w:ascii="仿宋_GB2312" w:eastAsia="仿宋_GB2312"/>
          <w:color w:val="auto"/>
          <w:sz w:val="32"/>
          <w:szCs w:val="32"/>
          <w:lang w:eastAsia="zh-CN"/>
        </w:rPr>
        <w:t xml:space="preserve"> 坚持不懈纠正“四风”。加强对中央八项规定精神和市委实施办法落实情况的监督检查，从具体问题抓起，一个节点一个节点地抓，持之以恒纠正“四风”。推动作风建设监督检查工作常态化、制度化，督促关于解决“四风”问题各项制度的完善和落实，强化对领导干部公务接待、公务用车、办公用房、兼职兼薪、因公因私出国（境）等情况的监督，纠正学院师生服务和管理工作中的不良之风、不良态度，促进优良校风的形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  </w:t>
      </w:r>
      <w:r>
        <w:rPr>
          <w:rFonts w:hint="eastAsia" w:ascii="仿宋_GB2312" w:eastAsia="仿宋_GB2312"/>
          <w:color w:val="auto"/>
          <w:sz w:val="32"/>
          <w:szCs w:val="32"/>
          <w:lang w:val="en-US" w:eastAsia="zh-CN"/>
        </w:rPr>
        <w:t xml:space="preserve">   </w:t>
      </w:r>
      <w:r>
        <w:rPr>
          <w:rFonts w:hint="eastAsia" w:ascii="楷体" w:hAnsi="楷体" w:eastAsia="楷体" w:cs="楷体"/>
          <w:b/>
          <w:bCs/>
          <w:color w:val="auto"/>
          <w:sz w:val="32"/>
          <w:szCs w:val="32"/>
          <w:lang w:eastAsia="zh-CN"/>
        </w:rPr>
        <w:t>第七条</w:t>
      </w:r>
      <w:r>
        <w:rPr>
          <w:rFonts w:hint="eastAsia" w:ascii="仿宋_GB2312" w:eastAsia="仿宋_GB2312"/>
          <w:color w:val="auto"/>
          <w:sz w:val="32"/>
          <w:szCs w:val="32"/>
          <w:lang w:eastAsia="zh-CN"/>
        </w:rPr>
        <w:t xml:space="preserve"> 践行监督执纪四种形态，加大监督问责力度。加强对各部门、单位依纪依法履行职责、承担监管职能情况的督促检查。针对各部门、单位及党员干部身上发现的不良倾向及时进行约谈、函询、诫勉谈话等，督促其整改。对领导干部在工作中不履职或不正确履职，造成不良影响和严重后果的，严肃追究责任。坚持有信必办、有案必查、有腐必惩，严肃审查和处置党员干部违反党纪政纪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第三章  完善监督方式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楷体" w:hAnsi="楷体" w:eastAsia="楷体" w:cs="楷体"/>
          <w:b/>
          <w:bCs/>
          <w:color w:val="auto"/>
          <w:sz w:val="32"/>
          <w:szCs w:val="32"/>
          <w:lang w:eastAsia="zh-CN"/>
        </w:rPr>
        <w:t>第八条</w:t>
      </w:r>
      <w:r>
        <w:rPr>
          <w:rFonts w:hint="eastAsia" w:ascii="仿宋_GB2312" w:eastAsia="仿宋_GB2312"/>
          <w:color w:val="auto"/>
          <w:sz w:val="32"/>
          <w:szCs w:val="32"/>
          <w:lang w:eastAsia="zh-CN"/>
        </w:rPr>
        <w:t xml:space="preserve"> 强化日常监督。通过谈心谈话、调查研究、座谈交流、舆情分析等方式，了解掌握党员干部的思想、工作、生活情况，注重抓早抓小，对苗头性问题早提醒、早纠正、早查处，重要情况按要求及时报告党委和上级纪委。积极探索党风廉政教育有效方式，突出重点对象，加强警示教育，强化以案说法。听取领导班子和领导干部述职述廉，加强廉政考核及其成果运用。监督党员干部严格落实党章要求，强化党性意识，认真参加党组织生活，切实有效开展批评和自我批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 xml:space="preserve"> </w:t>
      </w:r>
      <w:r>
        <w:rPr>
          <w:rFonts w:hint="eastAsia" w:ascii="仿宋_GB2312" w:eastAsia="仿宋_GB2312"/>
          <w:color w:val="auto"/>
          <w:sz w:val="32"/>
          <w:szCs w:val="32"/>
          <w:lang w:val="en-US" w:eastAsia="zh-CN"/>
        </w:rPr>
        <w:t xml:space="preserve">   </w:t>
      </w:r>
      <w:r>
        <w:rPr>
          <w:rFonts w:hint="eastAsia" w:ascii="楷体" w:hAnsi="楷体" w:eastAsia="楷体" w:cs="楷体"/>
          <w:b/>
          <w:bCs/>
          <w:color w:val="auto"/>
          <w:sz w:val="32"/>
          <w:szCs w:val="32"/>
          <w:lang w:eastAsia="zh-CN"/>
        </w:rPr>
        <w:t>第九条</w:t>
      </w:r>
      <w:r>
        <w:rPr>
          <w:rFonts w:hint="eastAsia" w:ascii="仿宋_GB2312" w:eastAsia="仿宋_GB2312"/>
          <w:color w:val="auto"/>
          <w:sz w:val="32"/>
          <w:szCs w:val="32"/>
          <w:lang w:eastAsia="zh-CN"/>
        </w:rPr>
        <w:t xml:space="preserve"> 加强信访处理。按照拟立案、初步核实、谈话函询、暂存、了结等处置方式和标准，严格规范处置反映领导干部问题线索。需要初步核实和谈话函询的，要按照直接调查了解、委托下级党组织进行了解、发函由被反映人说明情况、分管领导直接与被反映人谈话或委托有关领导与被反映人谈话等方式办理。及时研究来信来访提出的重要问题，对需要进行党纪政纪处分的要按程序抓紧办理，需要移交其他部门或司法机关的要及时移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 xml:space="preserve"> </w:t>
      </w:r>
      <w:r>
        <w:rPr>
          <w:rFonts w:hint="eastAsia" w:ascii="仿宋_GB2312" w:eastAsia="仿宋_GB2312"/>
          <w:color w:val="auto"/>
          <w:sz w:val="32"/>
          <w:szCs w:val="32"/>
          <w:lang w:val="en-US" w:eastAsia="zh-CN"/>
        </w:rPr>
        <w:t xml:space="preserve">   </w:t>
      </w:r>
      <w:r>
        <w:rPr>
          <w:rFonts w:hint="eastAsia" w:ascii="楷体" w:hAnsi="楷体" w:eastAsia="楷体" w:cs="楷体"/>
          <w:b/>
          <w:bCs/>
          <w:color w:val="auto"/>
          <w:sz w:val="32"/>
          <w:szCs w:val="32"/>
          <w:lang w:eastAsia="zh-CN"/>
        </w:rPr>
        <w:t>第十条</w:t>
      </w:r>
      <w:r>
        <w:rPr>
          <w:rFonts w:hint="eastAsia" w:ascii="仿宋_GB2312" w:eastAsia="仿宋_GB2312"/>
          <w:color w:val="auto"/>
          <w:sz w:val="32"/>
          <w:szCs w:val="32"/>
          <w:lang w:eastAsia="zh-CN"/>
        </w:rPr>
        <w:t xml:space="preserve"> 实施专项检查。围绕贯彻上级部门、学院党委重大决策部署，围绕党风廉政建设和反腐败工作任务落实，针对廉政建设重点领域和关键环节的监督管理，以及群众反映的突出问题，适时开展专项检查，督促完善有关制度，堵塞可能出现的腐</w:t>
      </w:r>
      <w:r>
        <w:rPr>
          <w:rFonts w:hint="eastAsia" w:ascii="仿宋_GB2312" w:eastAsia="仿宋_GB2312"/>
          <w:color w:val="auto"/>
          <w:spacing w:val="-9"/>
          <w:sz w:val="32"/>
          <w:szCs w:val="32"/>
          <w:lang w:eastAsia="zh-CN"/>
        </w:rPr>
        <w:t>败漏洞，促进惩治和预防腐败工作与教育教学改革发展的深度融合。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 xml:space="preserve"> </w:t>
      </w:r>
      <w:r>
        <w:rPr>
          <w:rFonts w:hint="eastAsia" w:ascii="仿宋_GB2312" w:eastAsia="仿宋_GB2312"/>
          <w:color w:val="auto"/>
          <w:sz w:val="32"/>
          <w:szCs w:val="32"/>
          <w:lang w:val="en-US" w:eastAsia="zh-CN"/>
        </w:rPr>
        <w:t xml:space="preserve">   </w:t>
      </w:r>
      <w:r>
        <w:rPr>
          <w:rFonts w:hint="eastAsia" w:ascii="楷体" w:hAnsi="楷体" w:eastAsia="楷体" w:cs="楷体"/>
          <w:b/>
          <w:bCs/>
          <w:color w:val="auto"/>
          <w:sz w:val="32"/>
          <w:szCs w:val="32"/>
          <w:lang w:eastAsia="zh-CN"/>
        </w:rPr>
        <w:t>第十一条</w:t>
      </w:r>
      <w:r>
        <w:rPr>
          <w:rFonts w:hint="eastAsia" w:ascii="仿宋_GB2312" w:eastAsia="仿宋_GB2312"/>
          <w:color w:val="auto"/>
          <w:sz w:val="32"/>
          <w:szCs w:val="32"/>
          <w:lang w:eastAsia="zh-CN"/>
        </w:rPr>
        <w:t xml:space="preserve"> 聚焦主业主责。将主要工作精力投入到监督、执纪、问责上来，从过去直接参与职能部门的日常业务工作中脱离出来，把更多的精力放在督促检查有关责任部门依法依规依纪履行职责上。重视决策参与式监督，坚持建言提醒式监督，善用督促式监督，强化专项治理式监督。在监督过程中按照“事先看制度、事中看规范、事后看效果、事毕听反映”的原则，规范学院相关管理工作，避免违规违纪行为的发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第四章  健全监督、考核机制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楷体" w:hAnsi="楷体" w:eastAsia="楷体" w:cs="楷体"/>
          <w:b/>
          <w:bCs/>
          <w:color w:val="auto"/>
          <w:sz w:val="32"/>
          <w:szCs w:val="32"/>
          <w:lang w:eastAsia="zh-CN"/>
        </w:rPr>
        <w:t>第十二条</w:t>
      </w:r>
      <w:r>
        <w:rPr>
          <w:rFonts w:hint="eastAsia" w:ascii="仿宋_GB2312" w:eastAsia="仿宋_GB2312"/>
          <w:color w:val="auto"/>
          <w:sz w:val="32"/>
          <w:szCs w:val="32"/>
          <w:lang w:eastAsia="zh-CN"/>
        </w:rPr>
        <w:t xml:space="preserve"> 加强组织领导。学院纪委在学院党委和上级纪委双重领导下开展工作。学院纪委要加强对纪委委员、下级党组织及其纪检委员的领导和工作指导。院纪委委员、总支（支部）纪</w:t>
      </w:r>
      <w:r>
        <w:rPr>
          <w:rFonts w:hint="eastAsia" w:ascii="仿宋_GB2312" w:eastAsia="仿宋_GB2312"/>
          <w:color w:val="auto"/>
          <w:spacing w:val="-9"/>
          <w:sz w:val="32"/>
          <w:szCs w:val="32"/>
          <w:lang w:eastAsia="zh-CN"/>
        </w:rPr>
        <w:t>检委员要切实履行党章赋予的工作职责，按要求执行工作报告制度。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 xml:space="preserve"> </w:t>
      </w:r>
      <w:r>
        <w:rPr>
          <w:rFonts w:hint="eastAsia" w:ascii="仿宋_GB2312" w:eastAsia="仿宋_GB2312"/>
          <w:color w:val="auto"/>
          <w:sz w:val="32"/>
          <w:szCs w:val="32"/>
          <w:lang w:val="en-US" w:eastAsia="zh-CN"/>
        </w:rPr>
        <w:t xml:space="preserve">   </w:t>
      </w:r>
      <w:r>
        <w:rPr>
          <w:rFonts w:hint="eastAsia" w:ascii="楷体" w:hAnsi="楷体" w:eastAsia="楷体" w:cs="楷体"/>
          <w:b/>
          <w:bCs/>
          <w:color w:val="auto"/>
          <w:sz w:val="32"/>
          <w:szCs w:val="32"/>
          <w:lang w:eastAsia="zh-CN"/>
        </w:rPr>
        <w:t>第十三条</w:t>
      </w:r>
      <w:r>
        <w:rPr>
          <w:rFonts w:hint="eastAsia" w:ascii="仿宋_GB2312" w:eastAsia="仿宋_GB2312"/>
          <w:color w:val="auto"/>
          <w:sz w:val="32"/>
          <w:szCs w:val="32"/>
          <w:lang w:eastAsia="zh-CN"/>
        </w:rPr>
        <w:t xml:space="preserve"> 完善工作机制。健全监督工作重大事项联席会议机制，协调组织纪检监察、组织、人事、财务、资产、审计等负有监督职能的相关部门，根据需要召开监管工作联席会议，互相通报监管情况，查找、分析、研判问题和不足，协调会商对策方案，督促检查工作进展，不断增强工作合力。完善查信办案机制，通过信访举报、日常检查、专项治理、民主评议、内部审计等多种方式及时发现案件线索。健全问题线索处置集中管理、集体研究决策、分级办理机制，对反映领导班子和领导干部的问题线索，按照管理权限和规定程序分级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楷体" w:hAnsi="楷体" w:eastAsia="楷体" w:cs="楷体"/>
          <w:b/>
          <w:bCs/>
          <w:color w:val="auto"/>
          <w:sz w:val="32"/>
          <w:szCs w:val="32"/>
          <w:lang w:eastAsia="zh-CN"/>
        </w:rPr>
        <w:t>第十四条</w:t>
      </w:r>
      <w:r>
        <w:rPr>
          <w:rFonts w:hint="eastAsia" w:ascii="仿宋_GB2312" w:eastAsia="仿宋_GB2312"/>
          <w:color w:val="auto"/>
          <w:sz w:val="32"/>
          <w:szCs w:val="32"/>
          <w:lang w:eastAsia="zh-CN"/>
        </w:rPr>
        <w:t xml:space="preserve"> 健全考核机制。坚持党风廉政建设责任制自查自纠和考核制度，按照党风廉政建设责任制实施细则和责任书的任务分解实行分级考核。监督考核结果作为各级领导班子和领导干部考核评价、干部选拔任用、评先评优的重要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r>
        <w:rPr>
          <w:rFonts w:hint="eastAsia" w:ascii="楷体" w:hAnsi="楷体" w:eastAsia="楷体" w:cs="楷体"/>
          <w:b/>
          <w:bCs/>
          <w:color w:val="auto"/>
          <w:sz w:val="32"/>
          <w:szCs w:val="32"/>
          <w:lang w:val="en-US" w:eastAsia="zh-CN"/>
        </w:rPr>
        <w:t xml:space="preserve">    </w:t>
      </w:r>
      <w:r>
        <w:rPr>
          <w:rFonts w:hint="eastAsia" w:ascii="楷体" w:hAnsi="楷体" w:eastAsia="楷体" w:cs="楷体"/>
          <w:b/>
          <w:bCs/>
          <w:color w:val="auto"/>
          <w:sz w:val="32"/>
          <w:szCs w:val="32"/>
          <w:lang w:eastAsia="zh-CN"/>
        </w:rPr>
        <w:t>第十五条</w:t>
      </w:r>
      <w:r>
        <w:rPr>
          <w:rFonts w:hint="eastAsia" w:ascii="仿宋_GB2312" w:eastAsia="仿宋_GB2312"/>
          <w:color w:val="auto"/>
          <w:sz w:val="32"/>
          <w:szCs w:val="32"/>
          <w:lang w:eastAsia="zh-CN"/>
        </w:rPr>
        <w:t xml:space="preserve"> 严格责任追究。贯彻落实《中国共产党问责条例》，实施“一案双查”，加强责任传导，正确区分集体责任和个人责任、直接责任和领导责任、主要领导责任和重要领导责任，确保有责必究、追责必严。对于开展党风建设和反腐败工作不力，发生重大腐败案件和不正之风长期滋生蔓延的二级学院、职能部门和附属单位，以及管党治党主体责任缺失、监督责任缺位的，要严肃追究相关人员的责任。对于涉嫌违法犯罪的党员，应当及时移送有关国家机关依法处理；需要给予行政处分或者其他纪律处分的，应当向学院党政提出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第五章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楷体" w:hAnsi="楷体" w:eastAsia="楷体" w:cs="楷体"/>
          <w:b/>
          <w:bCs/>
          <w:color w:val="auto"/>
          <w:sz w:val="32"/>
          <w:szCs w:val="32"/>
          <w:lang w:eastAsia="zh-CN"/>
        </w:rPr>
        <w:t>第十六条</w:t>
      </w:r>
      <w:r>
        <w:rPr>
          <w:rFonts w:hint="eastAsia" w:ascii="仿宋_GB2312" w:eastAsia="仿宋_GB2312"/>
          <w:color w:val="auto"/>
          <w:sz w:val="32"/>
          <w:szCs w:val="32"/>
          <w:lang w:eastAsia="zh-CN"/>
        </w:rPr>
        <w:t xml:space="preserve"> 本办法由院纪委负责解释。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 xml:space="preserve"> </w:t>
      </w:r>
      <w:r>
        <w:rPr>
          <w:rFonts w:hint="eastAsia" w:ascii="仿宋_GB2312" w:eastAsia="仿宋_GB2312"/>
          <w:color w:val="auto"/>
          <w:sz w:val="32"/>
          <w:szCs w:val="32"/>
          <w:lang w:val="en-US" w:eastAsia="zh-CN"/>
        </w:rPr>
        <w:t xml:space="preserve">   </w:t>
      </w:r>
      <w:r>
        <w:rPr>
          <w:rFonts w:hint="eastAsia" w:ascii="楷体" w:hAnsi="楷体" w:eastAsia="楷体" w:cs="楷体"/>
          <w:b/>
          <w:bCs/>
          <w:color w:val="auto"/>
          <w:sz w:val="32"/>
          <w:szCs w:val="32"/>
          <w:lang w:eastAsia="zh-CN"/>
        </w:rPr>
        <w:t>第十七条</w:t>
      </w:r>
      <w:r>
        <w:rPr>
          <w:rFonts w:hint="eastAsia" w:ascii="仿宋_GB2312" w:eastAsia="仿宋_GB2312"/>
          <w:color w:val="auto"/>
          <w:sz w:val="32"/>
          <w:szCs w:val="32"/>
          <w:lang w:eastAsia="zh-CN"/>
        </w:rPr>
        <w:t xml:space="preserve"> 本办法自印发之日起实施。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sectPr>
          <w:footerReference r:id="rId3" w:type="default"/>
          <w:pgSz w:w="11906" w:h="16838"/>
          <w:pgMar w:top="2098" w:right="1508" w:bottom="2098" w:left="1508" w:header="851" w:footer="1587" w:gutter="0"/>
          <w:pgBorders>
            <w:top w:val="none" w:sz="0" w:space="0"/>
            <w:left w:val="none" w:sz="0" w:space="0"/>
            <w:bottom w:val="none" w:sz="0" w:space="0"/>
            <w:right w:val="none" w:sz="0" w:space="0"/>
          </w:pgBorders>
          <w:pgNumType w:fmt="numberInDash"/>
          <w:cols w:space="0" w:num="1"/>
          <w:rtlGutter w:val="1"/>
          <w:docGrid w:type="lines" w:linePitch="316"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附件2</w:t>
      </w:r>
    </w:p>
    <w:p>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left="0" w:leftChars="0" w:right="0" w:rightChars="0" w:firstLine="0" w:firstLineChars="0"/>
        <w:jc w:val="center"/>
        <w:textAlignment w:val="auto"/>
        <w:outlineLvl w:val="9"/>
        <w:rPr>
          <w:rFonts w:ascii="宋体" w:hAnsi="宋体" w:eastAsia="宋体" w:cs="宋体"/>
          <w:b/>
          <w:bCs/>
          <w:color w:val="000000"/>
          <w:sz w:val="26"/>
          <w:szCs w:val="26"/>
        </w:rPr>
      </w:pPr>
      <w:r>
        <w:rPr>
          <w:rFonts w:hint="eastAsia" w:ascii="黑体" w:hAnsi="黑体" w:eastAsia="黑体" w:cs="黑体"/>
          <w:color w:val="auto"/>
          <w:sz w:val="32"/>
          <w:szCs w:val="32"/>
          <w:lang w:eastAsia="zh-CN"/>
        </w:rPr>
        <w:t>上海城建职业学院党风廉政建设纪委监督责任清单</w:t>
      </w:r>
    </w:p>
    <w:tbl>
      <w:tblPr>
        <w:tblStyle w:val="8"/>
        <w:tblW w:w="12919" w:type="dxa"/>
        <w:jc w:val="center"/>
        <w:tblInd w:w="0" w:type="dxa"/>
        <w:tblLayout w:type="fixed"/>
        <w:tblCellMar>
          <w:top w:w="0" w:type="dxa"/>
          <w:left w:w="95" w:type="dxa"/>
          <w:bottom w:w="0" w:type="dxa"/>
          <w:right w:w="95" w:type="dxa"/>
        </w:tblCellMar>
      </w:tblPr>
      <w:tblGrid>
        <w:gridCol w:w="757"/>
        <w:gridCol w:w="1985"/>
        <w:gridCol w:w="8646"/>
        <w:gridCol w:w="1531"/>
      </w:tblGrid>
      <w:tr>
        <w:tblPrEx>
          <w:tblLayout w:type="fixed"/>
          <w:tblCellMar>
            <w:top w:w="0" w:type="dxa"/>
            <w:left w:w="95" w:type="dxa"/>
            <w:bottom w:w="0" w:type="dxa"/>
            <w:right w:w="95" w:type="dxa"/>
          </w:tblCellMar>
        </w:tblPrEx>
        <w:trPr>
          <w:jc w:val="center"/>
        </w:trPr>
        <w:tc>
          <w:tcPr>
            <w:tcW w:w="75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left="0" w:leftChars="0" w:right="0" w:rightChars="0" w:firstLine="0" w:firstLineChars="0"/>
              <w:jc w:val="center"/>
              <w:textAlignment w:val="auto"/>
              <w:rPr>
                <w:rFonts w:ascii="华文中宋" w:hAnsi="华文中宋" w:eastAsia="华文中宋" w:cs="宋体"/>
                <w:b/>
                <w:bCs/>
                <w:color w:val="000000"/>
                <w:sz w:val="26"/>
                <w:szCs w:val="26"/>
              </w:rPr>
            </w:pPr>
            <w:r>
              <w:rPr>
                <w:rFonts w:hint="eastAsia" w:ascii="华文中宋" w:hAnsi="华文中宋" w:eastAsia="华文中宋" w:cs="宋体"/>
                <w:b/>
                <w:bCs/>
                <w:color w:val="000000"/>
                <w:sz w:val="26"/>
                <w:szCs w:val="26"/>
              </w:rPr>
              <w:t xml:space="preserve">序号 </w:t>
            </w:r>
          </w:p>
        </w:tc>
        <w:tc>
          <w:tcPr>
            <w:tcW w:w="1985"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left="0" w:leftChars="0" w:right="0" w:rightChars="0" w:firstLine="0" w:firstLineChars="0"/>
              <w:jc w:val="center"/>
              <w:textAlignment w:val="auto"/>
              <w:rPr>
                <w:rFonts w:ascii="华文中宋" w:hAnsi="华文中宋" w:eastAsia="华文中宋" w:cs="宋体"/>
                <w:b/>
                <w:bCs/>
                <w:color w:val="000000"/>
                <w:sz w:val="26"/>
                <w:szCs w:val="26"/>
              </w:rPr>
            </w:pPr>
            <w:r>
              <w:rPr>
                <w:rFonts w:hint="eastAsia" w:ascii="华文中宋" w:hAnsi="华文中宋" w:eastAsia="华文中宋" w:cs="宋体"/>
                <w:b/>
                <w:bCs/>
                <w:color w:val="000000"/>
                <w:sz w:val="26"/>
                <w:szCs w:val="26"/>
              </w:rPr>
              <w:t xml:space="preserve">监督责任 </w:t>
            </w:r>
          </w:p>
        </w:tc>
        <w:tc>
          <w:tcPr>
            <w:tcW w:w="8646" w:type="dxa"/>
            <w:tcBorders>
              <w:top w:val="single" w:color="000000" w:sz="6" w:space="0"/>
              <w:left w:val="nil"/>
              <w:bottom w:val="single" w:color="000000" w:sz="6" w:space="0"/>
              <w:right w:val="single" w:color="000000" w:sz="6" w:space="0"/>
            </w:tcBorders>
          </w:tcPr>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left="0" w:leftChars="0" w:right="0" w:rightChars="0" w:firstLine="0" w:firstLineChars="0"/>
              <w:jc w:val="center"/>
              <w:textAlignment w:val="auto"/>
              <w:rPr>
                <w:rFonts w:ascii="华文中宋" w:hAnsi="华文中宋" w:eastAsia="华文中宋" w:cs="宋体"/>
                <w:b/>
                <w:bCs/>
                <w:color w:val="000000"/>
                <w:sz w:val="26"/>
                <w:szCs w:val="26"/>
              </w:rPr>
            </w:pPr>
            <w:r>
              <w:rPr>
                <w:rFonts w:hint="eastAsia" w:ascii="华文中宋" w:hAnsi="华文中宋" w:eastAsia="华文中宋" w:cs="宋体"/>
                <w:b/>
                <w:bCs/>
                <w:color w:val="000000"/>
                <w:sz w:val="26"/>
                <w:szCs w:val="26"/>
              </w:rPr>
              <w:t xml:space="preserve">具体内容 </w:t>
            </w:r>
          </w:p>
        </w:tc>
        <w:tc>
          <w:tcPr>
            <w:tcW w:w="1531" w:type="dxa"/>
            <w:tcBorders>
              <w:top w:val="single" w:color="000000" w:sz="6" w:space="0"/>
              <w:left w:val="nil"/>
              <w:bottom w:val="single" w:color="000000" w:sz="6" w:space="0"/>
              <w:right w:val="single" w:color="000000" w:sz="6" w:space="0"/>
            </w:tcBorders>
          </w:tcPr>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left="0" w:leftChars="0" w:right="0" w:rightChars="0" w:firstLine="0" w:firstLineChars="0"/>
              <w:jc w:val="center"/>
              <w:textAlignment w:val="auto"/>
              <w:rPr>
                <w:rFonts w:ascii="华文中宋" w:hAnsi="华文中宋" w:eastAsia="华文中宋" w:cs="宋体"/>
                <w:b/>
                <w:bCs/>
                <w:color w:val="000000"/>
                <w:sz w:val="26"/>
                <w:szCs w:val="26"/>
              </w:rPr>
            </w:pPr>
            <w:r>
              <w:rPr>
                <w:rFonts w:hint="eastAsia" w:ascii="华文中宋" w:hAnsi="华文中宋" w:eastAsia="华文中宋" w:cs="宋体"/>
                <w:b/>
                <w:bCs/>
                <w:color w:val="000000"/>
                <w:sz w:val="26"/>
                <w:szCs w:val="26"/>
              </w:rPr>
              <w:t>备注</w:t>
            </w:r>
          </w:p>
        </w:tc>
      </w:tr>
      <w:tr>
        <w:tblPrEx>
          <w:tblLayout w:type="fixed"/>
          <w:tblCellMar>
            <w:top w:w="0" w:type="dxa"/>
            <w:left w:w="95" w:type="dxa"/>
            <w:bottom w:w="0" w:type="dxa"/>
            <w:right w:w="95" w:type="dxa"/>
          </w:tblCellMar>
        </w:tblPrEx>
        <w:trPr>
          <w:cantSplit/>
          <w:jc w:val="center"/>
        </w:trPr>
        <w:tc>
          <w:tcPr>
            <w:tcW w:w="757" w:type="dxa"/>
            <w:vMerge w:val="restart"/>
            <w:tcBorders>
              <w:top w:val="nil"/>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宋体" w:eastAsia="仿宋_GB2312" w:cs="宋体"/>
                <w:b/>
                <w:bCs/>
                <w:color w:val="000000"/>
                <w:sz w:val="26"/>
                <w:szCs w:val="26"/>
              </w:rPr>
            </w:pPr>
            <w:r>
              <w:rPr>
                <w:rFonts w:hint="eastAsia" w:ascii="仿宋_GB2312" w:hAnsi="宋体" w:eastAsia="仿宋_GB2312" w:cs="宋体"/>
                <w:b/>
                <w:bCs/>
                <w:color w:val="000000"/>
                <w:sz w:val="26"/>
                <w:szCs w:val="26"/>
              </w:rPr>
              <w:t xml:space="preserve">1 </w:t>
            </w:r>
          </w:p>
        </w:tc>
        <w:tc>
          <w:tcPr>
            <w:tcW w:w="1985" w:type="dxa"/>
            <w:vMerge w:val="restart"/>
            <w:tcBorders>
              <w:top w:val="nil"/>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宋体" w:eastAsia="仿宋_GB2312" w:cs="宋体"/>
                <w:b/>
                <w:bCs/>
                <w:color w:val="000000"/>
                <w:sz w:val="26"/>
                <w:szCs w:val="26"/>
              </w:rPr>
            </w:pPr>
            <w:r>
              <w:rPr>
                <w:rFonts w:hint="eastAsia" w:ascii="仿宋_GB2312" w:hAnsi="华文仿宋" w:eastAsia="仿宋_GB2312" w:cs="宋体"/>
                <w:b/>
                <w:bCs/>
                <w:color w:val="000000"/>
                <w:sz w:val="26"/>
                <w:szCs w:val="26"/>
              </w:rPr>
              <w:t>加强组织协调</w:t>
            </w:r>
            <w:r>
              <w:rPr>
                <w:rFonts w:hint="eastAsia" w:ascii="仿宋_GB2312" w:hAnsi="宋体" w:eastAsia="仿宋_GB2312" w:cs="宋体"/>
                <w:b/>
                <w:bCs/>
                <w:color w:val="000000"/>
                <w:sz w:val="26"/>
                <w:szCs w:val="26"/>
              </w:rPr>
              <w:t xml:space="preserve"> </w:t>
            </w:r>
          </w:p>
        </w:tc>
        <w:tc>
          <w:tcPr>
            <w:tcW w:w="8646"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1．在院党委的统一领导下，积极协助院党委加强党风廉政建设和组织协调反腐败工作。协助院党委将党风廉政建设和反腐败工作任务分解到各部门，加强检查考核，促进各项任务落实。 </w:t>
            </w:r>
          </w:p>
        </w:tc>
        <w:tc>
          <w:tcPr>
            <w:tcW w:w="1531"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1985" w:type="dxa"/>
            <w:vMerge w:val="continue"/>
            <w:tcBorders>
              <w:top w:val="nil"/>
              <w:left w:val="nil"/>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8646"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2．及时向院党委汇报上级纪委有关工作要求、报告反腐败重大工作情况，</w:t>
            </w:r>
            <w:r>
              <w:rPr>
                <w:rFonts w:hint="eastAsia" w:ascii="仿宋_GB2312" w:hAnsi="华文仿宋" w:eastAsia="仿宋_GB2312" w:cs="宋体"/>
                <w:color w:val="000000"/>
                <w:spacing w:val="-6"/>
                <w:sz w:val="26"/>
                <w:szCs w:val="26"/>
              </w:rPr>
              <w:t>及时贯彻院党委和上级纪委的工作部署。落实院纪委向上级纪委报告工作制度。</w:t>
            </w:r>
            <w:r>
              <w:rPr>
                <w:rFonts w:hint="eastAsia" w:ascii="仿宋_GB2312" w:hAnsi="华文仿宋" w:eastAsia="仿宋_GB2312" w:cs="宋体"/>
                <w:color w:val="000000"/>
                <w:sz w:val="26"/>
                <w:szCs w:val="26"/>
              </w:rPr>
              <w:t xml:space="preserve"> </w:t>
            </w:r>
          </w:p>
        </w:tc>
        <w:tc>
          <w:tcPr>
            <w:tcW w:w="1531"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1985" w:type="dxa"/>
            <w:vMerge w:val="continue"/>
            <w:tcBorders>
              <w:top w:val="nil"/>
              <w:left w:val="nil"/>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8646"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3．准确研判形势，加强调查研究，结合学校实际，向院党委提出党风廉政建设和反腐败工作建议。 </w:t>
            </w:r>
          </w:p>
        </w:tc>
        <w:tc>
          <w:tcPr>
            <w:tcW w:w="1531"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1985" w:type="dxa"/>
            <w:vMerge w:val="continue"/>
            <w:tcBorders>
              <w:top w:val="nil"/>
              <w:left w:val="nil"/>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8646"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4．加强对院党委和二级单位落实主体责任情况的监督。 </w:t>
            </w:r>
          </w:p>
        </w:tc>
        <w:tc>
          <w:tcPr>
            <w:tcW w:w="1531"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1985" w:type="dxa"/>
            <w:vMerge w:val="continue"/>
            <w:tcBorders>
              <w:top w:val="nil"/>
              <w:left w:val="nil"/>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8646"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5．配合组织部对领导干部报告个人有关事项情况开展抽查。 </w:t>
            </w:r>
          </w:p>
        </w:tc>
        <w:tc>
          <w:tcPr>
            <w:tcW w:w="1531"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p>
        </w:tc>
      </w:tr>
      <w:tr>
        <w:tblPrEx>
          <w:tblLayout w:type="fixed"/>
          <w:tblCellMar>
            <w:top w:w="0" w:type="dxa"/>
            <w:left w:w="95" w:type="dxa"/>
            <w:bottom w:w="0" w:type="dxa"/>
            <w:right w:w="95" w:type="dxa"/>
          </w:tblCellMar>
        </w:tblPrEx>
        <w:trPr>
          <w:cantSplit/>
          <w:jc w:val="center"/>
        </w:trPr>
        <w:tc>
          <w:tcPr>
            <w:tcW w:w="757" w:type="dxa"/>
            <w:vMerge w:val="restart"/>
            <w:tcBorders>
              <w:top w:val="nil"/>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宋体" w:eastAsia="仿宋_GB2312" w:cs="宋体"/>
                <w:b/>
                <w:bCs/>
                <w:color w:val="000000"/>
                <w:sz w:val="26"/>
                <w:szCs w:val="26"/>
              </w:rPr>
            </w:pPr>
            <w:r>
              <w:rPr>
                <w:rFonts w:hint="eastAsia" w:ascii="仿宋_GB2312" w:hAnsi="宋体" w:eastAsia="仿宋_GB2312" w:cs="宋体"/>
                <w:b/>
                <w:bCs/>
                <w:color w:val="000000"/>
                <w:sz w:val="26"/>
                <w:szCs w:val="26"/>
              </w:rPr>
              <w:t xml:space="preserve">2 </w:t>
            </w:r>
          </w:p>
        </w:tc>
        <w:tc>
          <w:tcPr>
            <w:tcW w:w="1985" w:type="dxa"/>
            <w:vMerge w:val="restart"/>
            <w:tcBorders>
              <w:top w:val="nil"/>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宋体" w:eastAsia="仿宋_GB2312" w:cs="宋体"/>
                <w:b/>
                <w:bCs/>
                <w:color w:val="000000"/>
                <w:sz w:val="26"/>
                <w:szCs w:val="26"/>
              </w:rPr>
            </w:pPr>
            <w:r>
              <w:rPr>
                <w:rFonts w:hint="eastAsia" w:ascii="仿宋_GB2312" w:hAnsi="华文仿宋" w:eastAsia="仿宋_GB2312" w:cs="宋体"/>
                <w:b/>
                <w:bCs/>
                <w:color w:val="000000"/>
                <w:sz w:val="26"/>
                <w:szCs w:val="26"/>
              </w:rPr>
              <w:t>强化纪律监督</w:t>
            </w:r>
            <w:r>
              <w:rPr>
                <w:rFonts w:hint="eastAsia" w:ascii="仿宋_GB2312" w:hAnsi="宋体" w:eastAsia="仿宋_GB2312" w:cs="宋体"/>
                <w:b/>
                <w:bCs/>
                <w:color w:val="000000"/>
                <w:sz w:val="26"/>
                <w:szCs w:val="26"/>
              </w:rPr>
              <w:t xml:space="preserve"> </w:t>
            </w:r>
          </w:p>
        </w:tc>
        <w:tc>
          <w:tcPr>
            <w:tcW w:w="8646"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6．加强对落实中央、市委和院党委重大决策部署情况的监督检查，维护中央权威，确保政令畅通。坚决查处有令不行、有禁不止和“上有政策、下有对策”行为。 </w:t>
            </w:r>
          </w:p>
        </w:tc>
        <w:tc>
          <w:tcPr>
            <w:tcW w:w="1531"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1985" w:type="dxa"/>
            <w:vMerge w:val="continue"/>
            <w:tcBorders>
              <w:top w:val="nil"/>
              <w:left w:val="nil"/>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8646"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7．加强对遵守和执行党的政治纪律、组织纪律、作风纪律、群众工作纪律和财经工作纪律情况的监督检查，严肃查处违纪行为。 </w:t>
            </w:r>
          </w:p>
        </w:tc>
        <w:tc>
          <w:tcPr>
            <w:tcW w:w="1531"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1985" w:type="dxa"/>
            <w:vMerge w:val="continue"/>
            <w:tcBorders>
              <w:top w:val="nil"/>
              <w:left w:val="nil"/>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8646"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8．按照干部管理权限，对党政领导干部不履行或不正确履行职责造成重大失误或不良社会影响的行为进行问责。 </w:t>
            </w:r>
          </w:p>
        </w:tc>
        <w:tc>
          <w:tcPr>
            <w:tcW w:w="1531"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p>
        </w:tc>
      </w:tr>
      <w:tr>
        <w:tblPrEx>
          <w:tblLayout w:type="fixed"/>
          <w:tblCellMar>
            <w:top w:w="0" w:type="dxa"/>
            <w:left w:w="95" w:type="dxa"/>
            <w:bottom w:w="0" w:type="dxa"/>
            <w:right w:w="95" w:type="dxa"/>
          </w:tblCellMar>
        </w:tblPrEx>
        <w:trPr>
          <w:cantSplit/>
          <w:jc w:val="center"/>
        </w:trPr>
        <w:tc>
          <w:tcPr>
            <w:tcW w:w="757" w:type="dxa"/>
            <w:vMerge w:val="restart"/>
            <w:tcBorders>
              <w:top w:val="nil"/>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宋体" w:eastAsia="仿宋_GB2312" w:cs="宋体"/>
                <w:b/>
                <w:bCs/>
                <w:color w:val="000000"/>
                <w:sz w:val="26"/>
                <w:szCs w:val="26"/>
              </w:rPr>
            </w:pPr>
            <w:r>
              <w:rPr>
                <w:rFonts w:hint="eastAsia" w:ascii="仿宋_GB2312" w:hAnsi="宋体" w:eastAsia="仿宋_GB2312" w:cs="宋体"/>
                <w:b/>
                <w:bCs/>
                <w:color w:val="000000"/>
                <w:sz w:val="26"/>
                <w:szCs w:val="26"/>
              </w:rPr>
              <w:t xml:space="preserve">3 </w:t>
            </w:r>
          </w:p>
        </w:tc>
        <w:tc>
          <w:tcPr>
            <w:tcW w:w="1985" w:type="dxa"/>
            <w:vMerge w:val="restart"/>
            <w:tcBorders>
              <w:top w:val="nil"/>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宋体" w:eastAsia="仿宋_GB2312" w:cs="宋体"/>
                <w:b/>
                <w:bCs/>
                <w:color w:val="000000"/>
                <w:sz w:val="26"/>
                <w:szCs w:val="26"/>
              </w:rPr>
            </w:pPr>
            <w:r>
              <w:rPr>
                <w:rFonts w:hint="eastAsia" w:ascii="仿宋_GB2312" w:hAnsi="华文仿宋" w:eastAsia="仿宋_GB2312" w:cs="宋体"/>
                <w:b/>
                <w:bCs/>
                <w:color w:val="000000"/>
                <w:sz w:val="26"/>
                <w:szCs w:val="26"/>
              </w:rPr>
              <w:t>推进作风建设</w:t>
            </w:r>
            <w:r>
              <w:rPr>
                <w:rFonts w:hint="eastAsia" w:ascii="仿宋_GB2312" w:hAnsi="宋体" w:eastAsia="仿宋_GB2312" w:cs="宋体"/>
                <w:b/>
                <w:bCs/>
                <w:color w:val="000000"/>
                <w:sz w:val="26"/>
                <w:szCs w:val="26"/>
              </w:rPr>
              <w:t xml:space="preserve"> </w:t>
            </w:r>
          </w:p>
        </w:tc>
        <w:tc>
          <w:tcPr>
            <w:tcW w:w="8646"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宋体" w:eastAsia="仿宋_GB2312" w:cs="宋体"/>
                <w:color w:val="000000"/>
                <w:sz w:val="26"/>
                <w:szCs w:val="26"/>
              </w:rPr>
            </w:pPr>
            <w:r>
              <w:rPr>
                <w:rFonts w:hint="eastAsia" w:ascii="仿宋_GB2312" w:hAnsi="宋体" w:eastAsia="仿宋_GB2312" w:cs="宋体"/>
                <w:color w:val="000000"/>
                <w:sz w:val="26"/>
                <w:szCs w:val="26"/>
              </w:rPr>
              <w:t>9</w:t>
            </w:r>
            <w:r>
              <w:rPr>
                <w:rFonts w:hint="eastAsia" w:ascii="仿宋_GB2312" w:hAnsi="华文仿宋" w:eastAsia="仿宋_GB2312" w:cs="宋体"/>
                <w:color w:val="000000"/>
                <w:sz w:val="26"/>
                <w:szCs w:val="26"/>
              </w:rPr>
              <w:t>．经常性、长期性地开展贯彻落实中央八项规定精神情况的监督检查。</w:t>
            </w:r>
            <w:r>
              <w:rPr>
                <w:rFonts w:hint="eastAsia" w:ascii="仿宋_GB2312" w:hAnsi="宋体" w:eastAsia="仿宋_GB2312" w:cs="宋体"/>
                <w:color w:val="000000"/>
                <w:sz w:val="26"/>
                <w:szCs w:val="26"/>
              </w:rPr>
              <w:t xml:space="preserve"> </w:t>
            </w:r>
          </w:p>
        </w:tc>
        <w:tc>
          <w:tcPr>
            <w:tcW w:w="1531"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1985" w:type="dxa"/>
            <w:vMerge w:val="continue"/>
            <w:tcBorders>
              <w:top w:val="nil"/>
              <w:left w:val="nil"/>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8646" w:type="dxa"/>
            <w:tcBorders>
              <w:top w:val="single" w:color="000000" w:sz="6" w:space="0"/>
              <w:left w:val="nil"/>
              <w:bottom w:val="single" w:color="000000" w:sz="6" w:space="0"/>
              <w:right w:val="single" w:color="000000" w:sz="6" w:space="0"/>
            </w:tcBorders>
          </w:tcPr>
          <w:p>
            <w:pPr>
              <w:widowControl/>
              <w:shd w:val="clear" w:color="auto" w:fill="FFFFFF"/>
              <w:snapToGrid w:val="0"/>
              <w:spacing w:before="100" w:beforeAutospacing="1" w:after="100" w:afterAutospacing="1" w:line="299" w:lineRule="atLeast"/>
              <w:rPr>
                <w:rFonts w:ascii="仿宋_GB2312" w:hAnsi="华文仿宋" w:eastAsia="仿宋_GB2312" w:cs="Times New Roman"/>
                <w:color w:val="000000"/>
                <w:kern w:val="0"/>
                <w:sz w:val="26"/>
                <w:szCs w:val="26"/>
              </w:rPr>
            </w:pPr>
            <w:r>
              <w:rPr>
                <w:rFonts w:hint="eastAsia" w:ascii="仿宋_GB2312" w:hAnsi="华文仿宋" w:eastAsia="仿宋_GB2312" w:cs="宋体"/>
                <w:color w:val="000000"/>
                <w:kern w:val="0"/>
                <w:sz w:val="26"/>
                <w:szCs w:val="26"/>
              </w:rPr>
              <w:t>10．严肃查处“四风”典型案件，对典型案例及时通报曝光，形成有力震慑。</w:t>
            </w:r>
            <w:r>
              <w:rPr>
                <w:rFonts w:hint="eastAsia" w:ascii="仿宋_GB2312" w:hAnsi="华文仿宋" w:eastAsia="仿宋_GB2312" w:cs="Times New Roman"/>
                <w:color w:val="000000"/>
                <w:kern w:val="0"/>
                <w:sz w:val="26"/>
                <w:szCs w:val="26"/>
              </w:rPr>
              <w:t xml:space="preserve"> </w:t>
            </w:r>
          </w:p>
        </w:tc>
        <w:tc>
          <w:tcPr>
            <w:tcW w:w="1531"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1985" w:type="dxa"/>
            <w:vMerge w:val="continue"/>
            <w:tcBorders>
              <w:top w:val="nil"/>
              <w:left w:val="nil"/>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8646" w:type="dxa"/>
            <w:tcBorders>
              <w:top w:val="single" w:color="auto" w:sz="4"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宋体" w:eastAsia="仿宋_GB2312" w:cs="宋体"/>
                <w:color w:val="000000"/>
                <w:sz w:val="26"/>
                <w:szCs w:val="26"/>
              </w:rPr>
            </w:pPr>
            <w:r>
              <w:rPr>
                <w:rFonts w:hint="eastAsia" w:ascii="仿宋_GB2312" w:hAnsi="宋体" w:eastAsia="仿宋_GB2312" w:cs="宋体"/>
                <w:color w:val="000000"/>
                <w:sz w:val="26"/>
                <w:szCs w:val="26"/>
              </w:rPr>
              <w:t>11</w:t>
            </w:r>
            <w:r>
              <w:rPr>
                <w:rFonts w:hint="eastAsia" w:ascii="仿宋_GB2312" w:hAnsi="华文仿宋" w:eastAsia="仿宋_GB2312" w:cs="宋体"/>
                <w:color w:val="000000"/>
                <w:sz w:val="26"/>
                <w:szCs w:val="26"/>
              </w:rPr>
              <w:t>．督促学校相关职能部门不断健全作风建设方面规章制度，并监督其有效执行。</w:t>
            </w:r>
            <w:r>
              <w:rPr>
                <w:rFonts w:hint="eastAsia" w:ascii="仿宋_GB2312" w:hAnsi="宋体" w:eastAsia="仿宋_GB2312" w:cs="宋体"/>
                <w:color w:val="000000"/>
                <w:sz w:val="26"/>
                <w:szCs w:val="26"/>
              </w:rPr>
              <w:t xml:space="preserve"> </w:t>
            </w:r>
          </w:p>
        </w:tc>
        <w:tc>
          <w:tcPr>
            <w:tcW w:w="1531" w:type="dxa"/>
            <w:tcBorders>
              <w:top w:val="single" w:color="auto" w:sz="4"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p>
        </w:tc>
      </w:tr>
      <w:tr>
        <w:tblPrEx>
          <w:tblLayout w:type="fixed"/>
          <w:tblCellMar>
            <w:top w:w="0" w:type="dxa"/>
            <w:left w:w="95" w:type="dxa"/>
            <w:bottom w:w="0" w:type="dxa"/>
            <w:right w:w="95" w:type="dxa"/>
          </w:tblCellMar>
        </w:tblPrEx>
        <w:trPr>
          <w:cantSplit/>
          <w:jc w:val="center"/>
        </w:trPr>
        <w:tc>
          <w:tcPr>
            <w:tcW w:w="757" w:type="dxa"/>
            <w:vMerge w:val="restart"/>
            <w:tcBorders>
              <w:top w:val="single" w:color="000000" w:sz="6"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宋体" w:eastAsia="仿宋_GB2312" w:cs="宋体"/>
                <w:b/>
                <w:bCs/>
                <w:color w:val="000000"/>
                <w:sz w:val="26"/>
                <w:szCs w:val="26"/>
              </w:rPr>
            </w:pPr>
            <w:r>
              <w:rPr>
                <w:rFonts w:hint="eastAsia" w:ascii="仿宋_GB2312" w:hAnsi="宋体" w:eastAsia="仿宋_GB2312" w:cs="宋体"/>
                <w:b/>
                <w:bCs/>
                <w:color w:val="000000"/>
                <w:sz w:val="26"/>
                <w:szCs w:val="26"/>
              </w:rPr>
              <w:t xml:space="preserve">4 </w:t>
            </w:r>
          </w:p>
        </w:tc>
        <w:tc>
          <w:tcPr>
            <w:tcW w:w="1985" w:type="dxa"/>
            <w:vMerge w:val="restart"/>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宋体" w:eastAsia="仿宋_GB2312" w:cs="宋体"/>
                <w:b/>
                <w:bCs/>
                <w:color w:val="000000"/>
                <w:sz w:val="26"/>
                <w:szCs w:val="26"/>
              </w:rPr>
            </w:pPr>
            <w:r>
              <w:rPr>
                <w:rFonts w:hint="eastAsia" w:ascii="仿宋_GB2312" w:hAnsi="华文仿宋" w:eastAsia="仿宋_GB2312" w:cs="宋体"/>
                <w:b/>
                <w:bCs/>
                <w:color w:val="000000"/>
                <w:sz w:val="26"/>
                <w:szCs w:val="26"/>
              </w:rPr>
              <w:t>查办信访案件</w:t>
            </w:r>
            <w:r>
              <w:rPr>
                <w:rFonts w:hint="eastAsia" w:ascii="仿宋_GB2312" w:hAnsi="宋体" w:eastAsia="仿宋_GB2312" w:cs="宋体"/>
                <w:b/>
                <w:bCs/>
                <w:color w:val="000000"/>
                <w:sz w:val="26"/>
                <w:szCs w:val="26"/>
              </w:rPr>
              <w:t xml:space="preserve"> </w:t>
            </w:r>
          </w:p>
        </w:tc>
        <w:tc>
          <w:tcPr>
            <w:tcW w:w="8646"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宋体" w:eastAsia="仿宋_GB2312" w:cs="宋体"/>
                <w:color w:val="000000"/>
                <w:sz w:val="26"/>
                <w:szCs w:val="26"/>
              </w:rPr>
            </w:pPr>
            <w:r>
              <w:rPr>
                <w:rFonts w:hint="eastAsia" w:ascii="仿宋_GB2312" w:hAnsi="宋体" w:eastAsia="仿宋_GB2312" w:cs="宋体"/>
                <w:color w:val="000000"/>
                <w:sz w:val="26"/>
                <w:szCs w:val="26"/>
              </w:rPr>
              <w:t>12</w:t>
            </w:r>
            <w:r>
              <w:rPr>
                <w:rFonts w:hint="eastAsia" w:ascii="仿宋_GB2312" w:hAnsi="华文仿宋" w:eastAsia="仿宋_GB2312" w:cs="宋体"/>
                <w:color w:val="000000"/>
                <w:sz w:val="26"/>
                <w:szCs w:val="26"/>
              </w:rPr>
              <w:t>．坚持抓早抓小，对党员干部存在的苗头性、倾向性问题及时约谈。</w:t>
            </w:r>
            <w:r>
              <w:rPr>
                <w:rFonts w:hint="eastAsia" w:ascii="仿宋_GB2312" w:hAnsi="宋体" w:eastAsia="仿宋_GB2312" w:cs="宋体"/>
                <w:color w:val="000000"/>
                <w:sz w:val="26"/>
                <w:szCs w:val="26"/>
              </w:rPr>
              <w:t xml:space="preserve"> </w:t>
            </w:r>
          </w:p>
        </w:tc>
        <w:tc>
          <w:tcPr>
            <w:tcW w:w="1531"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p>
        </w:tc>
      </w:tr>
      <w:tr>
        <w:tblPrEx>
          <w:tblLayout w:type="fixed"/>
          <w:tblCellMar>
            <w:top w:w="0" w:type="dxa"/>
            <w:left w:w="95" w:type="dxa"/>
            <w:bottom w:w="0" w:type="dxa"/>
            <w:right w:w="95" w:type="dxa"/>
          </w:tblCellMar>
        </w:tblPrEx>
        <w:trPr>
          <w:cantSplit/>
          <w:jc w:val="center"/>
        </w:trPr>
        <w:tc>
          <w:tcPr>
            <w:tcW w:w="75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1985" w:type="dxa"/>
            <w:vMerge w:val="continue"/>
            <w:tcBorders>
              <w:top w:val="single" w:color="000000" w:sz="6" w:space="0"/>
              <w:left w:val="nil"/>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8646"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宋体" w:eastAsia="仿宋_GB2312" w:cs="宋体"/>
                <w:color w:val="000000"/>
                <w:sz w:val="26"/>
                <w:szCs w:val="26"/>
              </w:rPr>
            </w:pPr>
            <w:r>
              <w:rPr>
                <w:rFonts w:hint="eastAsia" w:ascii="仿宋_GB2312" w:hAnsi="宋体" w:eastAsia="仿宋_GB2312" w:cs="宋体"/>
                <w:color w:val="000000"/>
                <w:sz w:val="26"/>
                <w:szCs w:val="26"/>
              </w:rPr>
              <w:t>13</w:t>
            </w:r>
            <w:r>
              <w:rPr>
                <w:rFonts w:hint="eastAsia" w:ascii="仿宋_GB2312" w:hAnsi="华文仿宋" w:eastAsia="仿宋_GB2312" w:cs="宋体"/>
                <w:color w:val="000000"/>
                <w:sz w:val="26"/>
                <w:szCs w:val="26"/>
              </w:rPr>
              <w:t>．严格审查和处置党员干部违反党纪政纪、涉嫌违法的行为。</w:t>
            </w:r>
          </w:p>
        </w:tc>
        <w:tc>
          <w:tcPr>
            <w:tcW w:w="1531"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p>
        </w:tc>
      </w:tr>
      <w:tr>
        <w:tblPrEx>
          <w:tblLayout w:type="fixed"/>
          <w:tblCellMar>
            <w:top w:w="0" w:type="dxa"/>
            <w:left w:w="95" w:type="dxa"/>
            <w:bottom w:w="0" w:type="dxa"/>
            <w:right w:w="95" w:type="dxa"/>
          </w:tblCellMar>
        </w:tblPrEx>
        <w:trPr>
          <w:cantSplit/>
          <w:jc w:val="center"/>
        </w:trPr>
        <w:tc>
          <w:tcPr>
            <w:tcW w:w="75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1985" w:type="dxa"/>
            <w:vMerge w:val="continue"/>
            <w:tcBorders>
              <w:top w:val="single" w:color="000000" w:sz="6" w:space="0"/>
              <w:left w:val="nil"/>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8646"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宋体" w:eastAsia="仿宋_GB2312" w:cs="宋体"/>
                <w:color w:val="000000"/>
                <w:sz w:val="26"/>
                <w:szCs w:val="26"/>
              </w:rPr>
            </w:pPr>
            <w:r>
              <w:rPr>
                <w:rFonts w:hint="eastAsia" w:ascii="仿宋_GB2312" w:hAnsi="宋体" w:eastAsia="仿宋_GB2312" w:cs="宋体"/>
                <w:color w:val="000000"/>
                <w:sz w:val="26"/>
                <w:szCs w:val="26"/>
              </w:rPr>
              <w:t>14</w:t>
            </w:r>
            <w:r>
              <w:rPr>
                <w:rFonts w:hint="eastAsia" w:ascii="仿宋_GB2312" w:hAnsi="华文仿宋" w:eastAsia="仿宋_GB2312" w:cs="宋体"/>
                <w:color w:val="000000"/>
                <w:sz w:val="26"/>
                <w:szCs w:val="26"/>
              </w:rPr>
              <w:t>．严明审查纪律，规范办案程序，坚持依纪依法、安全文明办案。</w:t>
            </w:r>
            <w:r>
              <w:rPr>
                <w:rFonts w:hint="eastAsia" w:ascii="仿宋_GB2312" w:hAnsi="宋体" w:eastAsia="仿宋_GB2312" w:cs="宋体"/>
                <w:color w:val="000000"/>
                <w:sz w:val="26"/>
                <w:szCs w:val="26"/>
              </w:rPr>
              <w:t xml:space="preserve"> </w:t>
            </w:r>
          </w:p>
        </w:tc>
        <w:tc>
          <w:tcPr>
            <w:tcW w:w="1531"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p>
        </w:tc>
      </w:tr>
      <w:tr>
        <w:tblPrEx>
          <w:tblLayout w:type="fixed"/>
          <w:tblCellMar>
            <w:top w:w="0" w:type="dxa"/>
            <w:left w:w="95" w:type="dxa"/>
            <w:bottom w:w="0" w:type="dxa"/>
            <w:right w:w="95" w:type="dxa"/>
          </w:tblCellMar>
        </w:tblPrEx>
        <w:trPr>
          <w:cantSplit/>
          <w:jc w:val="center"/>
        </w:trPr>
        <w:tc>
          <w:tcPr>
            <w:tcW w:w="75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1985" w:type="dxa"/>
            <w:vMerge w:val="continue"/>
            <w:tcBorders>
              <w:top w:val="single" w:color="000000" w:sz="6" w:space="0"/>
              <w:left w:val="nil"/>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8646"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宋体" w:eastAsia="仿宋_GB2312" w:cs="宋体"/>
                <w:color w:val="000000"/>
                <w:sz w:val="26"/>
                <w:szCs w:val="26"/>
              </w:rPr>
            </w:pPr>
            <w:r>
              <w:rPr>
                <w:rFonts w:hint="eastAsia" w:ascii="仿宋_GB2312" w:hAnsi="宋体" w:eastAsia="仿宋_GB2312" w:cs="宋体"/>
                <w:color w:val="000000"/>
                <w:sz w:val="26"/>
                <w:szCs w:val="26"/>
              </w:rPr>
              <w:t>15</w:t>
            </w:r>
            <w:r>
              <w:rPr>
                <w:rFonts w:hint="eastAsia" w:ascii="仿宋_GB2312" w:hAnsi="华文仿宋" w:eastAsia="仿宋_GB2312" w:cs="宋体"/>
                <w:color w:val="000000"/>
                <w:sz w:val="26"/>
                <w:szCs w:val="26"/>
              </w:rPr>
              <w:t>．切实执行“一案双查”、“一案两报告”制度。</w:t>
            </w:r>
            <w:r>
              <w:rPr>
                <w:rFonts w:hint="eastAsia" w:ascii="仿宋_GB2312" w:hAnsi="宋体" w:eastAsia="仿宋_GB2312" w:cs="宋体"/>
                <w:color w:val="000000"/>
                <w:sz w:val="26"/>
                <w:szCs w:val="26"/>
              </w:rPr>
              <w:t xml:space="preserve"> </w:t>
            </w:r>
          </w:p>
        </w:tc>
        <w:tc>
          <w:tcPr>
            <w:tcW w:w="1531"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p>
        </w:tc>
      </w:tr>
      <w:tr>
        <w:tblPrEx>
          <w:tblLayout w:type="fixed"/>
          <w:tblCellMar>
            <w:top w:w="0" w:type="dxa"/>
            <w:left w:w="95" w:type="dxa"/>
            <w:bottom w:w="0" w:type="dxa"/>
            <w:right w:w="95" w:type="dxa"/>
          </w:tblCellMar>
        </w:tblPrEx>
        <w:trPr>
          <w:cantSplit/>
          <w:jc w:val="center"/>
        </w:trPr>
        <w:tc>
          <w:tcPr>
            <w:tcW w:w="75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1985" w:type="dxa"/>
            <w:vMerge w:val="continue"/>
            <w:tcBorders>
              <w:top w:val="single" w:color="000000" w:sz="6" w:space="0"/>
              <w:left w:val="nil"/>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8646"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宋体" w:eastAsia="仿宋_GB2312" w:cs="宋体"/>
                <w:color w:val="000000"/>
                <w:sz w:val="26"/>
                <w:szCs w:val="26"/>
              </w:rPr>
            </w:pPr>
            <w:r>
              <w:rPr>
                <w:rFonts w:hint="eastAsia" w:ascii="仿宋_GB2312" w:hAnsi="宋体" w:eastAsia="仿宋_GB2312" w:cs="宋体"/>
                <w:color w:val="000000"/>
                <w:sz w:val="26"/>
                <w:szCs w:val="26"/>
              </w:rPr>
              <w:t>16</w:t>
            </w:r>
            <w:r>
              <w:rPr>
                <w:rFonts w:hint="eastAsia" w:ascii="仿宋_GB2312" w:hAnsi="华文仿宋" w:eastAsia="仿宋_GB2312" w:cs="宋体"/>
                <w:color w:val="000000"/>
                <w:sz w:val="26"/>
                <w:szCs w:val="26"/>
              </w:rPr>
              <w:t>．严格落实查办腐败案件以上级纪委领导为主、线索处置和案件查办在向院党委报告的同时必须向上级纪委报告的制度。</w:t>
            </w:r>
            <w:r>
              <w:rPr>
                <w:rFonts w:hint="eastAsia" w:ascii="仿宋_GB2312" w:hAnsi="宋体" w:eastAsia="仿宋_GB2312" w:cs="宋体"/>
                <w:color w:val="000000"/>
                <w:sz w:val="26"/>
                <w:szCs w:val="26"/>
              </w:rPr>
              <w:t xml:space="preserve"> </w:t>
            </w:r>
          </w:p>
        </w:tc>
        <w:tc>
          <w:tcPr>
            <w:tcW w:w="1531"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p>
        </w:tc>
      </w:tr>
      <w:tr>
        <w:tblPrEx>
          <w:tblLayout w:type="fixed"/>
          <w:tblCellMar>
            <w:top w:w="0" w:type="dxa"/>
            <w:left w:w="95" w:type="dxa"/>
            <w:bottom w:w="0" w:type="dxa"/>
            <w:right w:w="95" w:type="dxa"/>
          </w:tblCellMar>
        </w:tblPrEx>
        <w:trPr>
          <w:cantSplit/>
          <w:jc w:val="center"/>
        </w:trPr>
        <w:tc>
          <w:tcPr>
            <w:tcW w:w="757" w:type="dxa"/>
            <w:vMerge w:val="restart"/>
            <w:tcBorders>
              <w:top w:val="single" w:color="000000" w:sz="6"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宋体" w:eastAsia="仿宋_GB2312" w:cs="宋体"/>
                <w:b/>
                <w:bCs/>
                <w:color w:val="000000"/>
                <w:sz w:val="26"/>
                <w:szCs w:val="26"/>
              </w:rPr>
            </w:pPr>
            <w:r>
              <w:rPr>
                <w:rFonts w:hint="eastAsia" w:ascii="仿宋_GB2312" w:hAnsi="宋体" w:eastAsia="仿宋_GB2312" w:cs="宋体"/>
                <w:b/>
                <w:bCs/>
                <w:color w:val="000000"/>
                <w:sz w:val="26"/>
                <w:szCs w:val="26"/>
              </w:rPr>
              <w:t xml:space="preserve">5 </w:t>
            </w:r>
          </w:p>
        </w:tc>
        <w:tc>
          <w:tcPr>
            <w:tcW w:w="1985" w:type="dxa"/>
            <w:vMerge w:val="restart"/>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宋体" w:eastAsia="仿宋_GB2312" w:cs="宋体"/>
                <w:b/>
                <w:bCs/>
                <w:color w:val="000000"/>
                <w:sz w:val="26"/>
                <w:szCs w:val="26"/>
              </w:rPr>
            </w:pPr>
            <w:r>
              <w:rPr>
                <w:rFonts w:hint="eastAsia" w:ascii="仿宋_GB2312" w:hAnsi="华文仿宋" w:eastAsia="仿宋_GB2312" w:cs="宋体"/>
                <w:b/>
                <w:bCs/>
                <w:color w:val="000000"/>
                <w:sz w:val="26"/>
                <w:szCs w:val="26"/>
              </w:rPr>
              <w:t>履行监察职责</w:t>
            </w:r>
            <w:r>
              <w:rPr>
                <w:rFonts w:hint="eastAsia" w:ascii="仿宋_GB2312" w:hAnsi="宋体" w:eastAsia="仿宋_GB2312" w:cs="宋体"/>
                <w:b/>
                <w:bCs/>
                <w:color w:val="000000"/>
                <w:sz w:val="26"/>
                <w:szCs w:val="26"/>
              </w:rPr>
              <w:t xml:space="preserve"> </w:t>
            </w:r>
          </w:p>
        </w:tc>
        <w:tc>
          <w:tcPr>
            <w:tcW w:w="8646"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宋体" w:eastAsia="仿宋_GB2312" w:cs="宋体"/>
                <w:color w:val="000000"/>
                <w:sz w:val="26"/>
                <w:szCs w:val="26"/>
              </w:rPr>
            </w:pPr>
            <w:r>
              <w:rPr>
                <w:rFonts w:hint="eastAsia" w:ascii="仿宋_GB2312" w:hAnsi="宋体" w:eastAsia="仿宋_GB2312" w:cs="宋体"/>
                <w:color w:val="000000"/>
                <w:sz w:val="26"/>
                <w:szCs w:val="26"/>
              </w:rPr>
              <w:t>17</w:t>
            </w:r>
            <w:r>
              <w:rPr>
                <w:rFonts w:hint="eastAsia" w:ascii="仿宋_GB2312" w:hAnsi="华文仿宋" w:eastAsia="仿宋_GB2312" w:cs="宋体"/>
                <w:color w:val="000000"/>
                <w:sz w:val="26"/>
                <w:szCs w:val="26"/>
              </w:rPr>
              <w:t>．检查监察对象在遵守和执行国家法律法规和学校规章制度中的问题。</w:t>
            </w:r>
            <w:r>
              <w:rPr>
                <w:rFonts w:hint="eastAsia" w:ascii="仿宋_GB2312" w:hAnsi="宋体" w:eastAsia="仿宋_GB2312" w:cs="宋体"/>
                <w:color w:val="000000"/>
                <w:sz w:val="26"/>
                <w:szCs w:val="26"/>
              </w:rPr>
              <w:t xml:space="preserve"> </w:t>
            </w:r>
          </w:p>
        </w:tc>
        <w:tc>
          <w:tcPr>
            <w:tcW w:w="1531"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1985" w:type="dxa"/>
            <w:vMerge w:val="continue"/>
            <w:tcBorders>
              <w:top w:val="nil"/>
              <w:left w:val="nil"/>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8646"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宋体" w:eastAsia="仿宋_GB2312" w:cs="宋体"/>
                <w:color w:val="000000"/>
                <w:sz w:val="26"/>
                <w:szCs w:val="26"/>
              </w:rPr>
            </w:pPr>
            <w:r>
              <w:rPr>
                <w:rFonts w:hint="eastAsia" w:ascii="仿宋_GB2312" w:hAnsi="宋体" w:eastAsia="仿宋_GB2312" w:cs="宋体"/>
                <w:color w:val="000000"/>
                <w:sz w:val="26"/>
                <w:szCs w:val="26"/>
              </w:rPr>
              <w:t>18</w:t>
            </w:r>
            <w:r>
              <w:rPr>
                <w:rFonts w:hint="eastAsia" w:ascii="仿宋_GB2312" w:hAnsi="华文仿宋" w:eastAsia="仿宋_GB2312" w:cs="宋体"/>
                <w:color w:val="000000"/>
                <w:sz w:val="26"/>
                <w:szCs w:val="26"/>
              </w:rPr>
              <w:t>．受理监察对象违反行政纪律行为的控告、检举。</w:t>
            </w:r>
            <w:r>
              <w:rPr>
                <w:rFonts w:hint="eastAsia" w:ascii="仿宋_GB2312" w:hAnsi="宋体" w:eastAsia="仿宋_GB2312" w:cs="宋体"/>
                <w:color w:val="000000"/>
                <w:sz w:val="26"/>
                <w:szCs w:val="26"/>
              </w:rPr>
              <w:t xml:space="preserve"> </w:t>
            </w:r>
          </w:p>
        </w:tc>
        <w:tc>
          <w:tcPr>
            <w:tcW w:w="1531"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1985" w:type="dxa"/>
            <w:vMerge w:val="continue"/>
            <w:tcBorders>
              <w:top w:val="nil"/>
              <w:left w:val="nil"/>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8646"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宋体" w:eastAsia="仿宋_GB2312" w:cs="宋体"/>
                <w:color w:val="000000"/>
                <w:sz w:val="26"/>
                <w:szCs w:val="26"/>
              </w:rPr>
            </w:pPr>
            <w:r>
              <w:rPr>
                <w:rFonts w:hint="eastAsia" w:ascii="仿宋_GB2312" w:hAnsi="宋体" w:eastAsia="仿宋_GB2312" w:cs="宋体"/>
                <w:color w:val="000000"/>
                <w:sz w:val="26"/>
                <w:szCs w:val="26"/>
              </w:rPr>
              <w:t>19</w:t>
            </w:r>
            <w:r>
              <w:rPr>
                <w:rFonts w:hint="eastAsia" w:ascii="仿宋_GB2312" w:hAnsi="华文仿宋" w:eastAsia="仿宋_GB2312" w:cs="宋体"/>
                <w:color w:val="000000"/>
                <w:sz w:val="26"/>
                <w:szCs w:val="26"/>
              </w:rPr>
              <w:t>．调查处理监察对象违反行政纪律的行为。</w:t>
            </w:r>
            <w:r>
              <w:rPr>
                <w:rFonts w:hint="eastAsia" w:ascii="仿宋_GB2312" w:hAnsi="宋体" w:eastAsia="仿宋_GB2312" w:cs="宋体"/>
                <w:color w:val="000000"/>
                <w:sz w:val="26"/>
                <w:szCs w:val="26"/>
              </w:rPr>
              <w:t xml:space="preserve"> </w:t>
            </w:r>
          </w:p>
        </w:tc>
        <w:tc>
          <w:tcPr>
            <w:tcW w:w="1531"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1985" w:type="dxa"/>
            <w:vMerge w:val="continue"/>
            <w:tcBorders>
              <w:top w:val="nil"/>
              <w:left w:val="nil"/>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8646"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宋体" w:eastAsia="仿宋_GB2312" w:cs="宋体"/>
                <w:color w:val="000000"/>
                <w:sz w:val="26"/>
                <w:szCs w:val="26"/>
              </w:rPr>
            </w:pPr>
            <w:r>
              <w:rPr>
                <w:rFonts w:hint="eastAsia" w:ascii="仿宋_GB2312" w:hAnsi="宋体" w:eastAsia="仿宋_GB2312" w:cs="宋体"/>
                <w:color w:val="000000"/>
                <w:sz w:val="26"/>
                <w:szCs w:val="26"/>
              </w:rPr>
              <w:t>20</w:t>
            </w:r>
            <w:r>
              <w:rPr>
                <w:rFonts w:hint="eastAsia" w:ascii="仿宋_GB2312" w:hAnsi="华文仿宋" w:eastAsia="仿宋_GB2312" w:cs="宋体"/>
                <w:color w:val="000000"/>
                <w:sz w:val="26"/>
                <w:szCs w:val="26"/>
              </w:rPr>
              <w:t>．受理监察对象不服校行政给予处分决定的申诉。</w:t>
            </w:r>
            <w:r>
              <w:rPr>
                <w:rFonts w:hint="eastAsia" w:ascii="仿宋_GB2312" w:hAnsi="宋体" w:eastAsia="仿宋_GB2312" w:cs="宋体"/>
                <w:color w:val="000000"/>
                <w:sz w:val="26"/>
                <w:szCs w:val="26"/>
              </w:rPr>
              <w:t xml:space="preserve"> </w:t>
            </w:r>
          </w:p>
        </w:tc>
        <w:tc>
          <w:tcPr>
            <w:tcW w:w="1531"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1985" w:type="dxa"/>
            <w:vMerge w:val="continue"/>
            <w:tcBorders>
              <w:top w:val="nil"/>
              <w:left w:val="nil"/>
              <w:bottom w:val="single" w:color="000000" w:sz="6" w:space="0"/>
              <w:right w:val="single" w:color="000000" w:sz="6" w:space="0"/>
            </w:tcBorders>
            <w:vAlign w:val="center"/>
          </w:tcPr>
          <w:p>
            <w:pPr>
              <w:widowControl/>
              <w:jc w:val="left"/>
              <w:rPr>
                <w:rFonts w:ascii="仿宋_GB2312" w:hAnsi="宋体" w:eastAsia="仿宋_GB2312" w:cs="宋体"/>
                <w:b/>
                <w:bCs/>
                <w:color w:val="000000"/>
                <w:sz w:val="26"/>
                <w:szCs w:val="26"/>
              </w:rPr>
            </w:pPr>
          </w:p>
        </w:tc>
        <w:tc>
          <w:tcPr>
            <w:tcW w:w="8646"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宋体" w:eastAsia="仿宋_GB2312" w:cs="宋体"/>
                <w:color w:val="000000"/>
                <w:sz w:val="26"/>
                <w:szCs w:val="26"/>
              </w:rPr>
            </w:pPr>
            <w:r>
              <w:rPr>
                <w:rFonts w:hint="eastAsia" w:ascii="仿宋_GB2312" w:hAnsi="宋体" w:eastAsia="仿宋_GB2312" w:cs="宋体"/>
                <w:color w:val="000000"/>
                <w:sz w:val="26"/>
                <w:szCs w:val="26"/>
              </w:rPr>
              <w:t>21</w:t>
            </w:r>
            <w:r>
              <w:rPr>
                <w:rFonts w:hint="eastAsia" w:ascii="仿宋_GB2312" w:hAnsi="华文仿宋" w:eastAsia="仿宋_GB2312" w:cs="宋体"/>
                <w:color w:val="000000"/>
                <w:sz w:val="26"/>
                <w:szCs w:val="26"/>
              </w:rPr>
              <w:t>．检查校务公开工作，纠正损害师生利益的不正之风。</w:t>
            </w:r>
            <w:r>
              <w:rPr>
                <w:rFonts w:hint="eastAsia" w:ascii="仿宋_GB2312" w:hAnsi="宋体" w:eastAsia="仿宋_GB2312" w:cs="宋体"/>
                <w:color w:val="000000"/>
                <w:sz w:val="26"/>
                <w:szCs w:val="26"/>
              </w:rPr>
              <w:t xml:space="preserve"> </w:t>
            </w:r>
          </w:p>
        </w:tc>
        <w:tc>
          <w:tcPr>
            <w:tcW w:w="1531"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eastAsia="仿宋_GB2312"/>
          <w:color w:val="auto"/>
          <w:sz w:val="32"/>
          <w:szCs w:val="32"/>
          <w:lang w:val="en-US" w:eastAsia="zh-CN"/>
        </w:rPr>
      </w:pPr>
    </w:p>
    <w:sectPr>
      <w:pgSz w:w="16838" w:h="11906" w:orient="landscape"/>
      <w:pgMar w:top="1508" w:right="2098" w:bottom="1508" w:left="2098" w:header="851" w:footer="1587" w:gutter="0"/>
      <w:pgBorders>
        <w:top w:val="none" w:sz="0" w:space="0"/>
        <w:left w:val="none" w:sz="0" w:space="0"/>
        <w:bottom w:val="none" w:sz="0" w:space="0"/>
        <w:right w:val="none" w:sz="0" w:space="0"/>
      </w:pgBorders>
      <w:pgNumType w:fmt="numberInDash"/>
      <w:cols w:space="0" w:num="1"/>
      <w:rtlGutter w:val="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ヒラギノ角ゴ Pro W3">
    <w:altName w:val="MS Gothic"/>
    <w:panose1 w:val="0000105C6F216D66666F"/>
    <w:charset w:val="80"/>
    <w:family w:val="auto"/>
    <w:pitch w:val="default"/>
    <w:sig w:usb0="00000000" w:usb1="00000000" w:usb2="01000407" w:usb3="00000000" w:csb0="00020000" w:csb1="00000000"/>
  </w:font>
  <w:font w:name="Arial">
    <w:panose1 w:val="020B0604020202020204"/>
    <w:charset w:val="00"/>
    <w:family w:val="auto"/>
    <w:pitch w:val="default"/>
    <w:sig w:usb0="E0002AFF" w:usb1="C0007843" w:usb2="00000009" w:usb3="00000000" w:csb0="400001FF" w:csb1="FFFF0000"/>
  </w:font>
  <w:font w:name="MS Gothic">
    <w:panose1 w:val="020B0609070205080204"/>
    <w:charset w:val="80"/>
    <w:family w:val="auto"/>
    <w:pitch w:val="default"/>
    <w:sig w:usb0="E00002FF" w:usb1="6AC7FDFB" w:usb2="00000012" w:usb3="00000000" w:csb0="4002009F" w:csb1="DFD7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Calibri Light">
    <w:altName w:val="Calibri"/>
    <w:panose1 w:val="020F0302020204030204"/>
    <w:charset w:val="00"/>
    <w:family w:val="roman"/>
    <w:pitch w:val="default"/>
    <w:sig w:usb0="00000000" w:usb1="00000000" w:usb2="00000000" w:usb3="00000000" w:csb0="2000019F" w:csb1="00000000"/>
  </w:font>
  <w:font w:name="Angsana New">
    <w:panose1 w:val="02020603050405020304"/>
    <w:charset w:val="00"/>
    <w:family w:val="auto"/>
    <w:pitch w:val="default"/>
    <w:sig w:usb0="81000003" w:usb1="00000000" w:usb2="00000000" w:usb3="00000000" w:csb0="00010001"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Segoe UI Symbol">
    <w:panose1 w:val="020B0502040204020203"/>
    <w:charset w:val="00"/>
    <w:family w:val="auto"/>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仿宋_GB2312" w:eastAsia="仿宋_GB2312"/>
        <w:sz w:val="28"/>
        <w:szCs w:val="28"/>
      </w:rPr>
    </w:pPr>
    <w:r>
      <w:rPr>
        <w:rStyle w:val="7"/>
        <w:rFonts w:ascii="仿宋_GB2312" w:eastAsia="仿宋_GB2312" w:cs="仿宋_GB2312"/>
        <w:sz w:val="28"/>
        <w:szCs w:val="28"/>
      </w:rPr>
      <w:fldChar w:fldCharType="begin"/>
    </w:r>
    <w:r>
      <w:rPr>
        <w:rStyle w:val="7"/>
        <w:rFonts w:ascii="仿宋_GB2312" w:eastAsia="仿宋_GB2312" w:cs="仿宋_GB2312"/>
        <w:sz w:val="28"/>
        <w:szCs w:val="28"/>
      </w:rPr>
      <w:instrText xml:space="preserve">PAGE  </w:instrText>
    </w:r>
    <w:r>
      <w:rPr>
        <w:rStyle w:val="7"/>
        <w:rFonts w:ascii="仿宋_GB2312" w:eastAsia="仿宋_GB2312" w:cs="仿宋_GB2312"/>
        <w:sz w:val="28"/>
        <w:szCs w:val="28"/>
      </w:rPr>
      <w:fldChar w:fldCharType="separate"/>
    </w:r>
    <w:r>
      <w:rPr>
        <w:rStyle w:val="7"/>
        <w:rFonts w:ascii="仿宋_GB2312" w:eastAsia="仿宋_GB2312" w:cs="仿宋_GB2312"/>
        <w:sz w:val="28"/>
        <w:szCs w:val="28"/>
      </w:rPr>
      <w:t>- 2 -</w:t>
    </w:r>
    <w:r>
      <w:rPr>
        <w:rStyle w:val="7"/>
        <w:rFonts w:ascii="仿宋_GB2312" w:eastAsia="仿宋_GB2312" w:cs="仿宋_GB2312"/>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62"/>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3EA"/>
    <w:rsid w:val="00004C08"/>
    <w:rsid w:val="0001210A"/>
    <w:rsid w:val="00015328"/>
    <w:rsid w:val="00017959"/>
    <w:rsid w:val="00023A59"/>
    <w:rsid w:val="00034F8C"/>
    <w:rsid w:val="00036001"/>
    <w:rsid w:val="00042E53"/>
    <w:rsid w:val="00046775"/>
    <w:rsid w:val="000470B7"/>
    <w:rsid w:val="000530BA"/>
    <w:rsid w:val="0007530B"/>
    <w:rsid w:val="0008620F"/>
    <w:rsid w:val="00093332"/>
    <w:rsid w:val="00093587"/>
    <w:rsid w:val="00095BB6"/>
    <w:rsid w:val="000A4F5F"/>
    <w:rsid w:val="000A59FA"/>
    <w:rsid w:val="000A66E3"/>
    <w:rsid w:val="000C0013"/>
    <w:rsid w:val="000D193D"/>
    <w:rsid w:val="000D4C0B"/>
    <w:rsid w:val="000D50DC"/>
    <w:rsid w:val="000F67EF"/>
    <w:rsid w:val="001031E8"/>
    <w:rsid w:val="0011421B"/>
    <w:rsid w:val="0012152B"/>
    <w:rsid w:val="00124FB1"/>
    <w:rsid w:val="00144A4D"/>
    <w:rsid w:val="0014664C"/>
    <w:rsid w:val="00155BA2"/>
    <w:rsid w:val="00160632"/>
    <w:rsid w:val="00160BB8"/>
    <w:rsid w:val="0016308A"/>
    <w:rsid w:val="00163E7F"/>
    <w:rsid w:val="001830F4"/>
    <w:rsid w:val="00183995"/>
    <w:rsid w:val="001861CB"/>
    <w:rsid w:val="001B1B33"/>
    <w:rsid w:val="001B4CD3"/>
    <w:rsid w:val="001D0267"/>
    <w:rsid w:val="001D02C1"/>
    <w:rsid w:val="001D3BBB"/>
    <w:rsid w:val="001D6D18"/>
    <w:rsid w:val="001F55C8"/>
    <w:rsid w:val="001F647D"/>
    <w:rsid w:val="00203D94"/>
    <w:rsid w:val="00205B70"/>
    <w:rsid w:val="00213FF5"/>
    <w:rsid w:val="00217137"/>
    <w:rsid w:val="00231237"/>
    <w:rsid w:val="00243214"/>
    <w:rsid w:val="00254D6A"/>
    <w:rsid w:val="00256B2A"/>
    <w:rsid w:val="00256BB6"/>
    <w:rsid w:val="00262DD2"/>
    <w:rsid w:val="002673A6"/>
    <w:rsid w:val="0027438D"/>
    <w:rsid w:val="00274E14"/>
    <w:rsid w:val="002869FB"/>
    <w:rsid w:val="00291C12"/>
    <w:rsid w:val="0029553E"/>
    <w:rsid w:val="002A54CE"/>
    <w:rsid w:val="002A6B1A"/>
    <w:rsid w:val="002B54C8"/>
    <w:rsid w:val="002B559A"/>
    <w:rsid w:val="002C33B7"/>
    <w:rsid w:val="002C6806"/>
    <w:rsid w:val="002D1C20"/>
    <w:rsid w:val="002D4346"/>
    <w:rsid w:val="002D4BA2"/>
    <w:rsid w:val="002E1465"/>
    <w:rsid w:val="002E2665"/>
    <w:rsid w:val="002F0254"/>
    <w:rsid w:val="002F1C55"/>
    <w:rsid w:val="003018EF"/>
    <w:rsid w:val="003021AF"/>
    <w:rsid w:val="003076EE"/>
    <w:rsid w:val="00316DDC"/>
    <w:rsid w:val="00332DBE"/>
    <w:rsid w:val="003334EB"/>
    <w:rsid w:val="00333F64"/>
    <w:rsid w:val="003449D6"/>
    <w:rsid w:val="00350FE4"/>
    <w:rsid w:val="00361002"/>
    <w:rsid w:val="00365710"/>
    <w:rsid w:val="00373034"/>
    <w:rsid w:val="0037401E"/>
    <w:rsid w:val="003765B6"/>
    <w:rsid w:val="00381727"/>
    <w:rsid w:val="00385ABF"/>
    <w:rsid w:val="00387F28"/>
    <w:rsid w:val="00393A20"/>
    <w:rsid w:val="00396F22"/>
    <w:rsid w:val="0039745A"/>
    <w:rsid w:val="003A2FBC"/>
    <w:rsid w:val="003B1707"/>
    <w:rsid w:val="003B4BA4"/>
    <w:rsid w:val="003C6432"/>
    <w:rsid w:val="003C6CED"/>
    <w:rsid w:val="003D6BE5"/>
    <w:rsid w:val="003E77B5"/>
    <w:rsid w:val="003F222B"/>
    <w:rsid w:val="0040421E"/>
    <w:rsid w:val="00411EC3"/>
    <w:rsid w:val="00420198"/>
    <w:rsid w:val="0042246B"/>
    <w:rsid w:val="00441734"/>
    <w:rsid w:val="00441F44"/>
    <w:rsid w:val="00443267"/>
    <w:rsid w:val="00443469"/>
    <w:rsid w:val="00447BE7"/>
    <w:rsid w:val="004578ED"/>
    <w:rsid w:val="00464911"/>
    <w:rsid w:val="004715B1"/>
    <w:rsid w:val="0049505A"/>
    <w:rsid w:val="004A2FFA"/>
    <w:rsid w:val="004A71BD"/>
    <w:rsid w:val="004B155F"/>
    <w:rsid w:val="004B1628"/>
    <w:rsid w:val="004B6E8B"/>
    <w:rsid w:val="004C25EA"/>
    <w:rsid w:val="004C4ABA"/>
    <w:rsid w:val="004F20CB"/>
    <w:rsid w:val="004F76EF"/>
    <w:rsid w:val="00513FCE"/>
    <w:rsid w:val="005405DD"/>
    <w:rsid w:val="005446BC"/>
    <w:rsid w:val="0055231D"/>
    <w:rsid w:val="00553C35"/>
    <w:rsid w:val="005606C6"/>
    <w:rsid w:val="00575ABB"/>
    <w:rsid w:val="005A467A"/>
    <w:rsid w:val="005A4CF5"/>
    <w:rsid w:val="005B47BC"/>
    <w:rsid w:val="005B62E5"/>
    <w:rsid w:val="005C51B5"/>
    <w:rsid w:val="005C729D"/>
    <w:rsid w:val="005C75AC"/>
    <w:rsid w:val="005E06CE"/>
    <w:rsid w:val="005E3EDC"/>
    <w:rsid w:val="005F1D81"/>
    <w:rsid w:val="0060571D"/>
    <w:rsid w:val="006110FE"/>
    <w:rsid w:val="0061431B"/>
    <w:rsid w:val="006243EC"/>
    <w:rsid w:val="00625123"/>
    <w:rsid w:val="00627E4D"/>
    <w:rsid w:val="006324C7"/>
    <w:rsid w:val="006348F7"/>
    <w:rsid w:val="006426F5"/>
    <w:rsid w:val="006757AD"/>
    <w:rsid w:val="00683077"/>
    <w:rsid w:val="006843D7"/>
    <w:rsid w:val="00691609"/>
    <w:rsid w:val="006A297A"/>
    <w:rsid w:val="006A42EB"/>
    <w:rsid w:val="006A509D"/>
    <w:rsid w:val="006B5D08"/>
    <w:rsid w:val="006C2764"/>
    <w:rsid w:val="006C5B2A"/>
    <w:rsid w:val="006D0CBC"/>
    <w:rsid w:val="006D64C9"/>
    <w:rsid w:val="006D75C6"/>
    <w:rsid w:val="006E011C"/>
    <w:rsid w:val="006E54F2"/>
    <w:rsid w:val="006F0B52"/>
    <w:rsid w:val="006F2E05"/>
    <w:rsid w:val="00703E84"/>
    <w:rsid w:val="007046DB"/>
    <w:rsid w:val="00705452"/>
    <w:rsid w:val="007054C3"/>
    <w:rsid w:val="007101FC"/>
    <w:rsid w:val="00717A4E"/>
    <w:rsid w:val="00720FF3"/>
    <w:rsid w:val="00724A6C"/>
    <w:rsid w:val="00737B54"/>
    <w:rsid w:val="00742862"/>
    <w:rsid w:val="007508D7"/>
    <w:rsid w:val="00751F78"/>
    <w:rsid w:val="007612C9"/>
    <w:rsid w:val="00767E5F"/>
    <w:rsid w:val="0078371C"/>
    <w:rsid w:val="007A2589"/>
    <w:rsid w:val="007A57C5"/>
    <w:rsid w:val="007C03E1"/>
    <w:rsid w:val="007C3906"/>
    <w:rsid w:val="007D2CEC"/>
    <w:rsid w:val="007D7882"/>
    <w:rsid w:val="007E0C6E"/>
    <w:rsid w:val="007F0E18"/>
    <w:rsid w:val="007F31BE"/>
    <w:rsid w:val="0081000F"/>
    <w:rsid w:val="00816622"/>
    <w:rsid w:val="008178B3"/>
    <w:rsid w:val="00842ADC"/>
    <w:rsid w:val="00844B9C"/>
    <w:rsid w:val="0084546A"/>
    <w:rsid w:val="00856D5A"/>
    <w:rsid w:val="00860ADB"/>
    <w:rsid w:val="008760FD"/>
    <w:rsid w:val="00881B86"/>
    <w:rsid w:val="008C424F"/>
    <w:rsid w:val="008E3EFA"/>
    <w:rsid w:val="008F1310"/>
    <w:rsid w:val="008F3185"/>
    <w:rsid w:val="008F32CC"/>
    <w:rsid w:val="008F4D74"/>
    <w:rsid w:val="008F6D17"/>
    <w:rsid w:val="0091399B"/>
    <w:rsid w:val="00916FB6"/>
    <w:rsid w:val="00923C25"/>
    <w:rsid w:val="009314A4"/>
    <w:rsid w:val="0094096B"/>
    <w:rsid w:val="009411DA"/>
    <w:rsid w:val="009425D9"/>
    <w:rsid w:val="00956BC8"/>
    <w:rsid w:val="009611D4"/>
    <w:rsid w:val="00963779"/>
    <w:rsid w:val="00982359"/>
    <w:rsid w:val="00982C0A"/>
    <w:rsid w:val="00992D05"/>
    <w:rsid w:val="00993BDC"/>
    <w:rsid w:val="009A2ABC"/>
    <w:rsid w:val="009A6428"/>
    <w:rsid w:val="009C04C9"/>
    <w:rsid w:val="009C5433"/>
    <w:rsid w:val="009C6C31"/>
    <w:rsid w:val="009E0CE5"/>
    <w:rsid w:val="009F09A1"/>
    <w:rsid w:val="00A02887"/>
    <w:rsid w:val="00A03998"/>
    <w:rsid w:val="00A06454"/>
    <w:rsid w:val="00A10779"/>
    <w:rsid w:val="00A1098A"/>
    <w:rsid w:val="00A1743F"/>
    <w:rsid w:val="00A17E25"/>
    <w:rsid w:val="00A24B45"/>
    <w:rsid w:val="00A27228"/>
    <w:rsid w:val="00A34A27"/>
    <w:rsid w:val="00A35FEE"/>
    <w:rsid w:val="00A4108B"/>
    <w:rsid w:val="00A5074B"/>
    <w:rsid w:val="00A54C08"/>
    <w:rsid w:val="00A663F0"/>
    <w:rsid w:val="00A90D25"/>
    <w:rsid w:val="00A91556"/>
    <w:rsid w:val="00A95100"/>
    <w:rsid w:val="00AA2982"/>
    <w:rsid w:val="00AA2EB1"/>
    <w:rsid w:val="00AA69C5"/>
    <w:rsid w:val="00AB5911"/>
    <w:rsid w:val="00AC31B0"/>
    <w:rsid w:val="00AC5B3B"/>
    <w:rsid w:val="00AC6897"/>
    <w:rsid w:val="00AC74AF"/>
    <w:rsid w:val="00AD31F7"/>
    <w:rsid w:val="00AE23C6"/>
    <w:rsid w:val="00AF5107"/>
    <w:rsid w:val="00AF5871"/>
    <w:rsid w:val="00B128C8"/>
    <w:rsid w:val="00B25C4A"/>
    <w:rsid w:val="00B261AE"/>
    <w:rsid w:val="00B26CD6"/>
    <w:rsid w:val="00B277AE"/>
    <w:rsid w:val="00B34250"/>
    <w:rsid w:val="00B34AD2"/>
    <w:rsid w:val="00B42A47"/>
    <w:rsid w:val="00B460B7"/>
    <w:rsid w:val="00B526F1"/>
    <w:rsid w:val="00B5693F"/>
    <w:rsid w:val="00B623EA"/>
    <w:rsid w:val="00B64DDB"/>
    <w:rsid w:val="00B66919"/>
    <w:rsid w:val="00B70F67"/>
    <w:rsid w:val="00B72DBA"/>
    <w:rsid w:val="00B754F6"/>
    <w:rsid w:val="00B87330"/>
    <w:rsid w:val="00B96428"/>
    <w:rsid w:val="00B96D11"/>
    <w:rsid w:val="00BA05EB"/>
    <w:rsid w:val="00BB4182"/>
    <w:rsid w:val="00BB64CF"/>
    <w:rsid w:val="00BC6009"/>
    <w:rsid w:val="00BF5FB2"/>
    <w:rsid w:val="00BF79C8"/>
    <w:rsid w:val="00C00B79"/>
    <w:rsid w:val="00C02010"/>
    <w:rsid w:val="00C14A17"/>
    <w:rsid w:val="00C37024"/>
    <w:rsid w:val="00C41C8A"/>
    <w:rsid w:val="00C45947"/>
    <w:rsid w:val="00C53815"/>
    <w:rsid w:val="00C6231E"/>
    <w:rsid w:val="00C64BC9"/>
    <w:rsid w:val="00C65303"/>
    <w:rsid w:val="00C666C2"/>
    <w:rsid w:val="00C70546"/>
    <w:rsid w:val="00C70766"/>
    <w:rsid w:val="00C70D23"/>
    <w:rsid w:val="00C71D7F"/>
    <w:rsid w:val="00C7545A"/>
    <w:rsid w:val="00C872F5"/>
    <w:rsid w:val="00C9440C"/>
    <w:rsid w:val="00CB578D"/>
    <w:rsid w:val="00CC0901"/>
    <w:rsid w:val="00CC20E3"/>
    <w:rsid w:val="00CD2084"/>
    <w:rsid w:val="00CE0F1B"/>
    <w:rsid w:val="00CE229E"/>
    <w:rsid w:val="00CF17EA"/>
    <w:rsid w:val="00D11547"/>
    <w:rsid w:val="00D14037"/>
    <w:rsid w:val="00D16A57"/>
    <w:rsid w:val="00D26350"/>
    <w:rsid w:val="00D30596"/>
    <w:rsid w:val="00D352DD"/>
    <w:rsid w:val="00D4291A"/>
    <w:rsid w:val="00D45586"/>
    <w:rsid w:val="00D62322"/>
    <w:rsid w:val="00D64104"/>
    <w:rsid w:val="00D70139"/>
    <w:rsid w:val="00D70E2A"/>
    <w:rsid w:val="00D83DD9"/>
    <w:rsid w:val="00D9197C"/>
    <w:rsid w:val="00D9470B"/>
    <w:rsid w:val="00DA5345"/>
    <w:rsid w:val="00DB47FE"/>
    <w:rsid w:val="00DC76A0"/>
    <w:rsid w:val="00DC7DBD"/>
    <w:rsid w:val="00DD04C8"/>
    <w:rsid w:val="00DD0DD4"/>
    <w:rsid w:val="00DE3543"/>
    <w:rsid w:val="00DF3180"/>
    <w:rsid w:val="00DF5D1D"/>
    <w:rsid w:val="00DF7C4C"/>
    <w:rsid w:val="00E0032B"/>
    <w:rsid w:val="00E050B6"/>
    <w:rsid w:val="00E07B5B"/>
    <w:rsid w:val="00E13E23"/>
    <w:rsid w:val="00E151CE"/>
    <w:rsid w:val="00E15B9B"/>
    <w:rsid w:val="00E237EC"/>
    <w:rsid w:val="00E336C0"/>
    <w:rsid w:val="00E41F96"/>
    <w:rsid w:val="00E51E6C"/>
    <w:rsid w:val="00E57FEF"/>
    <w:rsid w:val="00E646CB"/>
    <w:rsid w:val="00E73013"/>
    <w:rsid w:val="00E73728"/>
    <w:rsid w:val="00E75FD7"/>
    <w:rsid w:val="00E81CCD"/>
    <w:rsid w:val="00E84D54"/>
    <w:rsid w:val="00E936C2"/>
    <w:rsid w:val="00E9448F"/>
    <w:rsid w:val="00EA19BF"/>
    <w:rsid w:val="00EC12F2"/>
    <w:rsid w:val="00EC6989"/>
    <w:rsid w:val="00F07157"/>
    <w:rsid w:val="00F1199A"/>
    <w:rsid w:val="00F130A0"/>
    <w:rsid w:val="00F13D15"/>
    <w:rsid w:val="00F1427E"/>
    <w:rsid w:val="00F144E6"/>
    <w:rsid w:val="00F21521"/>
    <w:rsid w:val="00F25812"/>
    <w:rsid w:val="00F3779A"/>
    <w:rsid w:val="00F41AEC"/>
    <w:rsid w:val="00F569A8"/>
    <w:rsid w:val="00F7481C"/>
    <w:rsid w:val="00F817AE"/>
    <w:rsid w:val="00F9768B"/>
    <w:rsid w:val="00FA22A8"/>
    <w:rsid w:val="00FA3AE5"/>
    <w:rsid w:val="00FA47B9"/>
    <w:rsid w:val="00FB0A64"/>
    <w:rsid w:val="00FB1302"/>
    <w:rsid w:val="00FB1586"/>
    <w:rsid w:val="00FC6618"/>
    <w:rsid w:val="00FD5383"/>
    <w:rsid w:val="00FE0389"/>
    <w:rsid w:val="00FE0B93"/>
    <w:rsid w:val="00FE2BED"/>
    <w:rsid w:val="00FE3233"/>
    <w:rsid w:val="00FE5F82"/>
    <w:rsid w:val="00FF7AD3"/>
    <w:rsid w:val="013B64C8"/>
    <w:rsid w:val="01464878"/>
    <w:rsid w:val="01F47420"/>
    <w:rsid w:val="021B7E32"/>
    <w:rsid w:val="023D36AA"/>
    <w:rsid w:val="02815237"/>
    <w:rsid w:val="028A397C"/>
    <w:rsid w:val="032D0062"/>
    <w:rsid w:val="03594B63"/>
    <w:rsid w:val="03983D84"/>
    <w:rsid w:val="03DA5EA2"/>
    <w:rsid w:val="03EE6D29"/>
    <w:rsid w:val="041B30B2"/>
    <w:rsid w:val="046A17F4"/>
    <w:rsid w:val="047B6BCA"/>
    <w:rsid w:val="047F1391"/>
    <w:rsid w:val="04C07575"/>
    <w:rsid w:val="04D77ED9"/>
    <w:rsid w:val="04FA2C53"/>
    <w:rsid w:val="052C5163"/>
    <w:rsid w:val="054A101E"/>
    <w:rsid w:val="05894A16"/>
    <w:rsid w:val="06921FCB"/>
    <w:rsid w:val="071F5DED"/>
    <w:rsid w:val="07326077"/>
    <w:rsid w:val="076611BB"/>
    <w:rsid w:val="077965D0"/>
    <w:rsid w:val="07AA19E0"/>
    <w:rsid w:val="07C31C06"/>
    <w:rsid w:val="07C42E96"/>
    <w:rsid w:val="07F901A3"/>
    <w:rsid w:val="08CB0EDB"/>
    <w:rsid w:val="093B6575"/>
    <w:rsid w:val="0A752838"/>
    <w:rsid w:val="0ADA2418"/>
    <w:rsid w:val="0AFB6211"/>
    <w:rsid w:val="0B05375F"/>
    <w:rsid w:val="0B1D15C1"/>
    <w:rsid w:val="0BA70DFB"/>
    <w:rsid w:val="0BB534C5"/>
    <w:rsid w:val="0C1D6D66"/>
    <w:rsid w:val="0C453E4B"/>
    <w:rsid w:val="0D395FE5"/>
    <w:rsid w:val="0DCE4D22"/>
    <w:rsid w:val="0DE71FD0"/>
    <w:rsid w:val="0E2B0566"/>
    <w:rsid w:val="0E606E89"/>
    <w:rsid w:val="0E737DD3"/>
    <w:rsid w:val="0E8C5DA8"/>
    <w:rsid w:val="0E953ED9"/>
    <w:rsid w:val="0E9A7A68"/>
    <w:rsid w:val="0EE009CF"/>
    <w:rsid w:val="0EE4275E"/>
    <w:rsid w:val="0F3522BD"/>
    <w:rsid w:val="0F98337A"/>
    <w:rsid w:val="0FD30983"/>
    <w:rsid w:val="108E6E48"/>
    <w:rsid w:val="108F4FE6"/>
    <w:rsid w:val="10CE0112"/>
    <w:rsid w:val="10EF10C7"/>
    <w:rsid w:val="11375A5D"/>
    <w:rsid w:val="119C51F0"/>
    <w:rsid w:val="11C81D7E"/>
    <w:rsid w:val="12A545E5"/>
    <w:rsid w:val="12DA6ADD"/>
    <w:rsid w:val="136B4782"/>
    <w:rsid w:val="13825DA1"/>
    <w:rsid w:val="139A32B7"/>
    <w:rsid w:val="139F0CB6"/>
    <w:rsid w:val="13D455A1"/>
    <w:rsid w:val="13E45227"/>
    <w:rsid w:val="141C258C"/>
    <w:rsid w:val="14315E9A"/>
    <w:rsid w:val="143C7C5A"/>
    <w:rsid w:val="14526875"/>
    <w:rsid w:val="14873B26"/>
    <w:rsid w:val="14A41357"/>
    <w:rsid w:val="14AC2B6E"/>
    <w:rsid w:val="14B51B45"/>
    <w:rsid w:val="15B361F3"/>
    <w:rsid w:val="16167AC5"/>
    <w:rsid w:val="1678050D"/>
    <w:rsid w:val="17210823"/>
    <w:rsid w:val="172D373C"/>
    <w:rsid w:val="175D5642"/>
    <w:rsid w:val="17B50682"/>
    <w:rsid w:val="17DC3982"/>
    <w:rsid w:val="18CD00AA"/>
    <w:rsid w:val="190268F1"/>
    <w:rsid w:val="191108A0"/>
    <w:rsid w:val="195219B2"/>
    <w:rsid w:val="19966326"/>
    <w:rsid w:val="1A17583F"/>
    <w:rsid w:val="1A677B62"/>
    <w:rsid w:val="1A68299B"/>
    <w:rsid w:val="1A9A3F87"/>
    <w:rsid w:val="1AD564FE"/>
    <w:rsid w:val="1AE94B2B"/>
    <w:rsid w:val="1CF06E04"/>
    <w:rsid w:val="1D867789"/>
    <w:rsid w:val="1D9B2AED"/>
    <w:rsid w:val="1DE35F7A"/>
    <w:rsid w:val="1E495B3F"/>
    <w:rsid w:val="1F683A64"/>
    <w:rsid w:val="1F754B05"/>
    <w:rsid w:val="1F8E333A"/>
    <w:rsid w:val="1FA72FE8"/>
    <w:rsid w:val="1FDE5CD7"/>
    <w:rsid w:val="20225398"/>
    <w:rsid w:val="203443EA"/>
    <w:rsid w:val="20615D5D"/>
    <w:rsid w:val="2148113D"/>
    <w:rsid w:val="218E29E1"/>
    <w:rsid w:val="219C6F57"/>
    <w:rsid w:val="21C55329"/>
    <w:rsid w:val="220364DA"/>
    <w:rsid w:val="222E7A46"/>
    <w:rsid w:val="22582778"/>
    <w:rsid w:val="225F08FF"/>
    <w:rsid w:val="226064FA"/>
    <w:rsid w:val="22A76036"/>
    <w:rsid w:val="23B33E7F"/>
    <w:rsid w:val="23C41A0C"/>
    <w:rsid w:val="23E85B22"/>
    <w:rsid w:val="23F36556"/>
    <w:rsid w:val="23FA1004"/>
    <w:rsid w:val="246D3EB6"/>
    <w:rsid w:val="24A465B7"/>
    <w:rsid w:val="24A60E2E"/>
    <w:rsid w:val="258C56B5"/>
    <w:rsid w:val="25C06807"/>
    <w:rsid w:val="25CB5C91"/>
    <w:rsid w:val="26347478"/>
    <w:rsid w:val="263E3A39"/>
    <w:rsid w:val="2651394E"/>
    <w:rsid w:val="27150B40"/>
    <w:rsid w:val="27415352"/>
    <w:rsid w:val="274241CA"/>
    <w:rsid w:val="27756136"/>
    <w:rsid w:val="2799658F"/>
    <w:rsid w:val="279A3DB9"/>
    <w:rsid w:val="285B6726"/>
    <w:rsid w:val="288C323B"/>
    <w:rsid w:val="28AD1E0C"/>
    <w:rsid w:val="28E412A3"/>
    <w:rsid w:val="297F6FF3"/>
    <w:rsid w:val="29980CC4"/>
    <w:rsid w:val="29F82DEE"/>
    <w:rsid w:val="2A63466D"/>
    <w:rsid w:val="2A956049"/>
    <w:rsid w:val="2ACF7A73"/>
    <w:rsid w:val="2B165D98"/>
    <w:rsid w:val="2B9D7AAF"/>
    <w:rsid w:val="2BD85DFB"/>
    <w:rsid w:val="2BE00775"/>
    <w:rsid w:val="2D0D3555"/>
    <w:rsid w:val="2D3453E6"/>
    <w:rsid w:val="2DFF3273"/>
    <w:rsid w:val="2E540E20"/>
    <w:rsid w:val="2E8203DE"/>
    <w:rsid w:val="2EA8397E"/>
    <w:rsid w:val="2EEB598D"/>
    <w:rsid w:val="2F453D27"/>
    <w:rsid w:val="2F5200A0"/>
    <w:rsid w:val="2F551FDA"/>
    <w:rsid w:val="2F62105C"/>
    <w:rsid w:val="2F916DEE"/>
    <w:rsid w:val="2FDC7DF5"/>
    <w:rsid w:val="307F6459"/>
    <w:rsid w:val="30B144E2"/>
    <w:rsid w:val="31471E68"/>
    <w:rsid w:val="31645C96"/>
    <w:rsid w:val="316E4A1C"/>
    <w:rsid w:val="31BC7D7C"/>
    <w:rsid w:val="31C13891"/>
    <w:rsid w:val="31EC1674"/>
    <w:rsid w:val="322A5027"/>
    <w:rsid w:val="32767728"/>
    <w:rsid w:val="32855FF9"/>
    <w:rsid w:val="32C74CBF"/>
    <w:rsid w:val="33631793"/>
    <w:rsid w:val="33C64ACD"/>
    <w:rsid w:val="33FB1398"/>
    <w:rsid w:val="342973E1"/>
    <w:rsid w:val="34580C5A"/>
    <w:rsid w:val="349C2792"/>
    <w:rsid w:val="34BA0FA5"/>
    <w:rsid w:val="34BE4DBC"/>
    <w:rsid w:val="35063740"/>
    <w:rsid w:val="35334378"/>
    <w:rsid w:val="35610897"/>
    <w:rsid w:val="358B34EA"/>
    <w:rsid w:val="359907F1"/>
    <w:rsid w:val="35BF2E1D"/>
    <w:rsid w:val="35C40763"/>
    <w:rsid w:val="363A7F70"/>
    <w:rsid w:val="36E606AB"/>
    <w:rsid w:val="37076456"/>
    <w:rsid w:val="37494C6F"/>
    <w:rsid w:val="37724A5B"/>
    <w:rsid w:val="3776308B"/>
    <w:rsid w:val="37837B33"/>
    <w:rsid w:val="37973842"/>
    <w:rsid w:val="37FE7081"/>
    <w:rsid w:val="38CD024D"/>
    <w:rsid w:val="38F27825"/>
    <w:rsid w:val="390372E3"/>
    <w:rsid w:val="39BC167C"/>
    <w:rsid w:val="3A9777F8"/>
    <w:rsid w:val="3AB3086B"/>
    <w:rsid w:val="3ACE3BD4"/>
    <w:rsid w:val="3B00177E"/>
    <w:rsid w:val="3B5A1CAD"/>
    <w:rsid w:val="3B6E4D07"/>
    <w:rsid w:val="3C0E7D33"/>
    <w:rsid w:val="3C4858FA"/>
    <w:rsid w:val="3C72341E"/>
    <w:rsid w:val="3CB544F2"/>
    <w:rsid w:val="3CB829D8"/>
    <w:rsid w:val="3CEC6BBC"/>
    <w:rsid w:val="3CF27896"/>
    <w:rsid w:val="3CFC6DD2"/>
    <w:rsid w:val="3D631DD6"/>
    <w:rsid w:val="3D984771"/>
    <w:rsid w:val="3E2F6239"/>
    <w:rsid w:val="3E3A4F5E"/>
    <w:rsid w:val="3E9B4946"/>
    <w:rsid w:val="3F073319"/>
    <w:rsid w:val="3F3260C4"/>
    <w:rsid w:val="3F58194A"/>
    <w:rsid w:val="3FBE36BD"/>
    <w:rsid w:val="40200A3B"/>
    <w:rsid w:val="40585CA4"/>
    <w:rsid w:val="409A703A"/>
    <w:rsid w:val="40BA35FF"/>
    <w:rsid w:val="41723728"/>
    <w:rsid w:val="41857399"/>
    <w:rsid w:val="418658B3"/>
    <w:rsid w:val="423B3B37"/>
    <w:rsid w:val="428D39B3"/>
    <w:rsid w:val="43022E6F"/>
    <w:rsid w:val="432425C4"/>
    <w:rsid w:val="43A7080B"/>
    <w:rsid w:val="43C705C3"/>
    <w:rsid w:val="43CF725F"/>
    <w:rsid w:val="43E7015F"/>
    <w:rsid w:val="44662A3F"/>
    <w:rsid w:val="44997BA8"/>
    <w:rsid w:val="44B015AC"/>
    <w:rsid w:val="45BD7FD6"/>
    <w:rsid w:val="46487748"/>
    <w:rsid w:val="467812DA"/>
    <w:rsid w:val="46D31BB0"/>
    <w:rsid w:val="472738A1"/>
    <w:rsid w:val="47795DF3"/>
    <w:rsid w:val="47B169BC"/>
    <w:rsid w:val="47F74FB4"/>
    <w:rsid w:val="481C6063"/>
    <w:rsid w:val="48F205B5"/>
    <w:rsid w:val="4914400F"/>
    <w:rsid w:val="49D1292A"/>
    <w:rsid w:val="49D60905"/>
    <w:rsid w:val="4A1A266D"/>
    <w:rsid w:val="4A360C6B"/>
    <w:rsid w:val="4AA02672"/>
    <w:rsid w:val="4B282EDB"/>
    <w:rsid w:val="4B3C6D49"/>
    <w:rsid w:val="4C32254D"/>
    <w:rsid w:val="4C335681"/>
    <w:rsid w:val="4C341B48"/>
    <w:rsid w:val="4C3469B1"/>
    <w:rsid w:val="4C550079"/>
    <w:rsid w:val="4CA75477"/>
    <w:rsid w:val="4CD948B8"/>
    <w:rsid w:val="4CFE4E1D"/>
    <w:rsid w:val="4E1F64AD"/>
    <w:rsid w:val="4E2311BA"/>
    <w:rsid w:val="4E3F4910"/>
    <w:rsid w:val="4E562F07"/>
    <w:rsid w:val="4E9E652E"/>
    <w:rsid w:val="4EAE51B3"/>
    <w:rsid w:val="4EB878B4"/>
    <w:rsid w:val="4EDB5E77"/>
    <w:rsid w:val="4F1104EB"/>
    <w:rsid w:val="4F45646D"/>
    <w:rsid w:val="4F6D4D71"/>
    <w:rsid w:val="4FD93B76"/>
    <w:rsid w:val="4FE27115"/>
    <w:rsid w:val="502923E4"/>
    <w:rsid w:val="507539FB"/>
    <w:rsid w:val="50A04648"/>
    <w:rsid w:val="510A4ED3"/>
    <w:rsid w:val="516C07E8"/>
    <w:rsid w:val="51CA1CB7"/>
    <w:rsid w:val="5251406E"/>
    <w:rsid w:val="52B7327F"/>
    <w:rsid w:val="52C751B8"/>
    <w:rsid w:val="530E5DB7"/>
    <w:rsid w:val="538454B7"/>
    <w:rsid w:val="53DE29D5"/>
    <w:rsid w:val="540B1A57"/>
    <w:rsid w:val="541B1537"/>
    <w:rsid w:val="54445502"/>
    <w:rsid w:val="54CE4217"/>
    <w:rsid w:val="552F0051"/>
    <w:rsid w:val="553365EA"/>
    <w:rsid w:val="553A1C1B"/>
    <w:rsid w:val="554937EC"/>
    <w:rsid w:val="559230ED"/>
    <w:rsid w:val="55BA3B4E"/>
    <w:rsid w:val="55CC1950"/>
    <w:rsid w:val="562A11A1"/>
    <w:rsid w:val="563A5F30"/>
    <w:rsid w:val="56512E0D"/>
    <w:rsid w:val="565910C2"/>
    <w:rsid w:val="566158F5"/>
    <w:rsid w:val="56E65B8E"/>
    <w:rsid w:val="570A1EA0"/>
    <w:rsid w:val="57DE7D68"/>
    <w:rsid w:val="57E91076"/>
    <w:rsid w:val="58387D7E"/>
    <w:rsid w:val="583A7D5C"/>
    <w:rsid w:val="589372CC"/>
    <w:rsid w:val="58A47562"/>
    <w:rsid w:val="591615FD"/>
    <w:rsid w:val="59E97BC6"/>
    <w:rsid w:val="5A191EAE"/>
    <w:rsid w:val="5A1F54E5"/>
    <w:rsid w:val="5ACF40EF"/>
    <w:rsid w:val="5B0056F7"/>
    <w:rsid w:val="5B1C6635"/>
    <w:rsid w:val="5B1D6F21"/>
    <w:rsid w:val="5B9E3CCB"/>
    <w:rsid w:val="5C1F1084"/>
    <w:rsid w:val="5C4E5323"/>
    <w:rsid w:val="5C695D2C"/>
    <w:rsid w:val="5C7F5AA9"/>
    <w:rsid w:val="5C800265"/>
    <w:rsid w:val="5C9F4D62"/>
    <w:rsid w:val="5CED5B78"/>
    <w:rsid w:val="5CF94249"/>
    <w:rsid w:val="5D1568A5"/>
    <w:rsid w:val="5D7A68A7"/>
    <w:rsid w:val="5E015A54"/>
    <w:rsid w:val="5E0E6105"/>
    <w:rsid w:val="5E5F39FA"/>
    <w:rsid w:val="5E6B56BF"/>
    <w:rsid w:val="5E782B7F"/>
    <w:rsid w:val="5EC426B9"/>
    <w:rsid w:val="5F0D1312"/>
    <w:rsid w:val="5F1D0D6C"/>
    <w:rsid w:val="5FFF24C0"/>
    <w:rsid w:val="60177312"/>
    <w:rsid w:val="603531BC"/>
    <w:rsid w:val="60451634"/>
    <w:rsid w:val="605470D3"/>
    <w:rsid w:val="60D26F7C"/>
    <w:rsid w:val="60D41B36"/>
    <w:rsid w:val="60F22B30"/>
    <w:rsid w:val="61D36CC1"/>
    <w:rsid w:val="61FF2117"/>
    <w:rsid w:val="620B1A76"/>
    <w:rsid w:val="62400C22"/>
    <w:rsid w:val="624372B5"/>
    <w:rsid w:val="625533EE"/>
    <w:rsid w:val="62BA5D60"/>
    <w:rsid w:val="636E0B4A"/>
    <w:rsid w:val="63720A25"/>
    <w:rsid w:val="63D3469B"/>
    <w:rsid w:val="64120042"/>
    <w:rsid w:val="64133A3F"/>
    <w:rsid w:val="64A2726F"/>
    <w:rsid w:val="64BE6036"/>
    <w:rsid w:val="64CE27F0"/>
    <w:rsid w:val="652B4BB6"/>
    <w:rsid w:val="659209DC"/>
    <w:rsid w:val="65943265"/>
    <w:rsid w:val="659D39AF"/>
    <w:rsid w:val="65F508CB"/>
    <w:rsid w:val="668B7F77"/>
    <w:rsid w:val="66CE5E36"/>
    <w:rsid w:val="66D703A8"/>
    <w:rsid w:val="66E935E0"/>
    <w:rsid w:val="66FB6FFE"/>
    <w:rsid w:val="670D2957"/>
    <w:rsid w:val="678C0108"/>
    <w:rsid w:val="679C7788"/>
    <w:rsid w:val="67CC2895"/>
    <w:rsid w:val="686864EE"/>
    <w:rsid w:val="68933FE6"/>
    <w:rsid w:val="68B222BB"/>
    <w:rsid w:val="692557D0"/>
    <w:rsid w:val="696B60FB"/>
    <w:rsid w:val="69820E87"/>
    <w:rsid w:val="6A1D7F9F"/>
    <w:rsid w:val="6A1E671D"/>
    <w:rsid w:val="6A2D445E"/>
    <w:rsid w:val="6A644257"/>
    <w:rsid w:val="6AF372A7"/>
    <w:rsid w:val="6B157F74"/>
    <w:rsid w:val="6B7A4CD0"/>
    <w:rsid w:val="6BB8468E"/>
    <w:rsid w:val="6BC70D51"/>
    <w:rsid w:val="6BF419AB"/>
    <w:rsid w:val="6C045C51"/>
    <w:rsid w:val="6C3B6809"/>
    <w:rsid w:val="6C541422"/>
    <w:rsid w:val="6CF06B33"/>
    <w:rsid w:val="6CF61BC9"/>
    <w:rsid w:val="6D1438E2"/>
    <w:rsid w:val="6D5E1725"/>
    <w:rsid w:val="6D66337C"/>
    <w:rsid w:val="6D7417E8"/>
    <w:rsid w:val="6E1A67A0"/>
    <w:rsid w:val="6E241860"/>
    <w:rsid w:val="6E5A17EB"/>
    <w:rsid w:val="6E701D37"/>
    <w:rsid w:val="6F117F27"/>
    <w:rsid w:val="6F5644D4"/>
    <w:rsid w:val="6FA77A7E"/>
    <w:rsid w:val="6FBB0A5D"/>
    <w:rsid w:val="6FC4134D"/>
    <w:rsid w:val="6FD370A5"/>
    <w:rsid w:val="6FEF1D2C"/>
    <w:rsid w:val="70313F1E"/>
    <w:rsid w:val="70D83BDB"/>
    <w:rsid w:val="70F23F07"/>
    <w:rsid w:val="711B0FDF"/>
    <w:rsid w:val="71761E0C"/>
    <w:rsid w:val="719D6342"/>
    <w:rsid w:val="722C4FDE"/>
    <w:rsid w:val="7261075A"/>
    <w:rsid w:val="728A695D"/>
    <w:rsid w:val="72940B17"/>
    <w:rsid w:val="72941855"/>
    <w:rsid w:val="72A047D9"/>
    <w:rsid w:val="72B82DFB"/>
    <w:rsid w:val="72C46F5E"/>
    <w:rsid w:val="730C5A4A"/>
    <w:rsid w:val="73104495"/>
    <w:rsid w:val="732E33A8"/>
    <w:rsid w:val="7376305E"/>
    <w:rsid w:val="74773BAD"/>
    <w:rsid w:val="74DC5C38"/>
    <w:rsid w:val="757C420E"/>
    <w:rsid w:val="75AF4220"/>
    <w:rsid w:val="76204EBA"/>
    <w:rsid w:val="76933E08"/>
    <w:rsid w:val="76AF34BD"/>
    <w:rsid w:val="76DA0089"/>
    <w:rsid w:val="770F44F9"/>
    <w:rsid w:val="776E4171"/>
    <w:rsid w:val="778E3AC9"/>
    <w:rsid w:val="779264DC"/>
    <w:rsid w:val="77DC5524"/>
    <w:rsid w:val="77F7163C"/>
    <w:rsid w:val="784C70B7"/>
    <w:rsid w:val="784F65EB"/>
    <w:rsid w:val="78793A42"/>
    <w:rsid w:val="788171D4"/>
    <w:rsid w:val="79834DE6"/>
    <w:rsid w:val="79EB086D"/>
    <w:rsid w:val="7A063B69"/>
    <w:rsid w:val="7A661B12"/>
    <w:rsid w:val="7A857CB5"/>
    <w:rsid w:val="7AC8690F"/>
    <w:rsid w:val="7ADD3514"/>
    <w:rsid w:val="7AED7D10"/>
    <w:rsid w:val="7B0C6614"/>
    <w:rsid w:val="7B4351AE"/>
    <w:rsid w:val="7B991E7C"/>
    <w:rsid w:val="7BA312E8"/>
    <w:rsid w:val="7BCE578D"/>
    <w:rsid w:val="7CA25E12"/>
    <w:rsid w:val="7CD523B4"/>
    <w:rsid w:val="7CFE13EC"/>
    <w:rsid w:val="7D19734A"/>
    <w:rsid w:val="7D2C2AE8"/>
    <w:rsid w:val="7D4067CF"/>
    <w:rsid w:val="7D9805C5"/>
    <w:rsid w:val="7DB36C93"/>
    <w:rsid w:val="7DBE6603"/>
    <w:rsid w:val="7E20277A"/>
    <w:rsid w:val="7E2F7FF6"/>
    <w:rsid w:val="7E4C7A5D"/>
    <w:rsid w:val="7E5F5798"/>
    <w:rsid w:val="7EB54EA8"/>
    <w:rsid w:val="7EB57E9E"/>
    <w:rsid w:val="7EBC530E"/>
    <w:rsid w:val="7EC35714"/>
    <w:rsid w:val="7EF34A0B"/>
    <w:rsid w:val="7F2F0BB8"/>
    <w:rsid w:val="7FF46D8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99"/>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脚 Char"/>
    <w:link w:val="3"/>
    <w:semiHidden/>
    <w:qFormat/>
    <w:uiPriority w:val="99"/>
    <w:rPr>
      <w:sz w:val="18"/>
      <w:szCs w:val="18"/>
    </w:rPr>
  </w:style>
  <w:style w:type="character" w:customStyle="1" w:styleId="11">
    <w:name w:val="页眉 Char"/>
    <w:link w:val="4"/>
    <w:semiHidden/>
    <w:qFormat/>
    <w:uiPriority w:val="99"/>
    <w:rPr>
      <w:sz w:val="18"/>
      <w:szCs w:val="18"/>
    </w:rPr>
  </w:style>
  <w:style w:type="character" w:customStyle="1" w:styleId="12">
    <w:name w:val="批注框文本 Char"/>
    <w:link w:val="2"/>
    <w:semiHidden/>
    <w:qFormat/>
    <w:uiPriority w:val="99"/>
    <w:rPr>
      <w:sz w:val="0"/>
      <w:szCs w:val="0"/>
    </w:rPr>
  </w:style>
  <w:style w:type="paragraph" w:customStyle="1" w:styleId="13">
    <w:name w:val="列出段落1"/>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abrt</Company>
  <Pages>2</Pages>
  <Words>75</Words>
  <Characters>433</Characters>
  <Lines>3</Lines>
  <Paragraphs>1</Paragraphs>
  <ScaleCrop>false</ScaleCrop>
  <LinksUpToDate>false</LinksUpToDate>
  <CharactersWithSpaces>507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2016-10-31T06:00:00Z</dcterms:created>
  <dc:creator>abrtUser</dc:creator>
  <cp:lastModifiedBy>Administrator</cp:lastModifiedBy>
  <cp:lastPrinted>2017-03-17T04:07:00Z</cp:lastPrinted>
  <dcterms:modified xsi:type="dcterms:W3CDTF">2017-05-10T02:51:45Z</dcterms:modified>
  <dc:title>上海城建职业学院关于承接托管上海工会管理职业学院学历教育管理的请示</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