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9"/>
        <w:tblW w:w="89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8"/>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48" w:type="dxa"/>
            <w:vAlign w:val="top"/>
          </w:tcPr>
          <w:p>
            <w:pPr>
              <w:spacing w:line="1000" w:lineRule="exact"/>
              <w:jc w:val="center"/>
              <w:rPr>
                <w:rFonts w:hint="eastAsia" w:ascii="方正小标宋简体" w:hAnsi="宋体" w:eastAsia="方正小标宋简体"/>
                <w:color w:val="FF0000"/>
                <w:spacing w:val="74"/>
                <w:w w:val="59"/>
                <w:kern w:val="0"/>
                <w:sz w:val="84"/>
                <w:szCs w:val="84"/>
                <w:lang w:eastAsia="zh-CN"/>
              </w:rPr>
            </w:pPr>
            <w:r>
              <w:rPr>
                <w:rFonts w:hint="eastAsia" w:ascii="方正小标宋简体" w:hAnsi="宋体" w:eastAsia="方正小标宋简体"/>
                <w:color w:val="FF0000"/>
                <w:spacing w:val="45"/>
                <w:w w:val="59"/>
                <w:kern w:val="0"/>
                <w:sz w:val="84"/>
                <w:szCs w:val="84"/>
                <w:lang w:eastAsia="zh-CN"/>
              </w:rPr>
              <w:t>中共上海城建职业学院委员会</w:t>
            </w:r>
          </w:p>
        </w:tc>
        <w:tc>
          <w:tcPr>
            <w:tcW w:w="1080" w:type="dxa"/>
            <w:vMerge w:val="restart"/>
            <w:vAlign w:val="center"/>
          </w:tcPr>
          <w:p>
            <w:pPr>
              <w:spacing w:line="1000" w:lineRule="exact"/>
              <w:rPr>
                <w:rFonts w:hint="eastAsia" w:ascii="方正小标宋简体" w:hAnsi="宋体" w:eastAsia="方正小标宋简体"/>
                <w:color w:val="FF0000"/>
                <w:sz w:val="72"/>
                <w:szCs w:val="72"/>
              </w:rPr>
            </w:pPr>
            <w:r>
              <w:rPr>
                <w:rFonts w:hint="eastAsia" w:ascii="方正小标宋简体" w:hAnsi="宋体" w:eastAsia="方正小标宋简体"/>
                <w:color w:val="FF0000"/>
                <w:spacing w:val="4"/>
                <w:w w:val="59"/>
                <w:kern w:val="0"/>
                <w:sz w:val="72"/>
                <w:szCs w:val="72"/>
              </w:rPr>
              <w:t>文</w:t>
            </w:r>
            <w:r>
              <w:rPr>
                <w:rFonts w:hint="eastAsia" w:ascii="方正小标宋简体" w:hAnsi="宋体" w:eastAsia="方正小标宋简体"/>
                <w:color w:val="FF0000"/>
                <w:spacing w:val="-29"/>
                <w:w w:val="59"/>
                <w:kern w:val="0"/>
                <w:sz w:val="72"/>
                <w:szCs w:val="72"/>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48" w:type="dxa"/>
            <w:vAlign w:val="top"/>
          </w:tcPr>
          <w:p>
            <w:pPr>
              <w:spacing w:line="1000" w:lineRule="exact"/>
              <w:jc w:val="center"/>
              <w:rPr>
                <w:rFonts w:hint="eastAsia" w:ascii="方正小标宋简体" w:hAnsi="宋体" w:eastAsia="方正小标宋简体"/>
                <w:color w:val="FF0000"/>
                <w:spacing w:val="74"/>
                <w:w w:val="59"/>
                <w:kern w:val="0"/>
                <w:sz w:val="84"/>
                <w:szCs w:val="84"/>
                <w:lang w:eastAsia="zh-CN"/>
              </w:rPr>
            </w:pPr>
            <w:r>
              <w:rPr>
                <w:rFonts w:hint="eastAsia" w:ascii="方正小标宋简体" w:hAnsi="宋体" w:eastAsia="方正小标宋简体"/>
                <w:color w:val="FF0000"/>
                <w:spacing w:val="62"/>
                <w:w w:val="59"/>
                <w:kern w:val="0"/>
                <w:sz w:val="84"/>
                <w:szCs w:val="84"/>
                <w:lang w:eastAsia="zh-CN"/>
              </w:rPr>
              <w:t>上</w:t>
            </w:r>
            <w:r>
              <w:rPr>
                <w:rFonts w:hint="eastAsia" w:ascii="方正小标宋简体" w:hAnsi="宋体" w:eastAsia="方正小标宋简体"/>
                <w:color w:val="FF0000"/>
                <w:spacing w:val="62"/>
                <w:w w:val="59"/>
                <w:kern w:val="0"/>
                <w:sz w:val="84"/>
                <w:szCs w:val="84"/>
                <w:lang w:val="en-US" w:eastAsia="zh-CN"/>
              </w:rPr>
              <w:t xml:space="preserve"> </w:t>
            </w:r>
            <w:r>
              <w:rPr>
                <w:rFonts w:hint="eastAsia" w:ascii="方正小标宋简体" w:hAnsi="宋体" w:eastAsia="方正小标宋简体"/>
                <w:color w:val="FF0000"/>
                <w:spacing w:val="62"/>
                <w:w w:val="59"/>
                <w:kern w:val="0"/>
                <w:sz w:val="84"/>
                <w:szCs w:val="84"/>
                <w:lang w:eastAsia="zh-CN"/>
              </w:rPr>
              <w:t>海</w:t>
            </w:r>
            <w:r>
              <w:rPr>
                <w:rFonts w:hint="eastAsia" w:ascii="方正小标宋简体" w:hAnsi="宋体" w:eastAsia="方正小标宋简体"/>
                <w:color w:val="FF0000"/>
                <w:spacing w:val="62"/>
                <w:w w:val="59"/>
                <w:kern w:val="0"/>
                <w:sz w:val="84"/>
                <w:szCs w:val="84"/>
                <w:lang w:val="en-US" w:eastAsia="zh-CN"/>
              </w:rPr>
              <w:t xml:space="preserve"> </w:t>
            </w:r>
            <w:r>
              <w:rPr>
                <w:rFonts w:hint="eastAsia" w:ascii="方正小标宋简体" w:hAnsi="宋体" w:eastAsia="方正小标宋简体"/>
                <w:color w:val="FF0000"/>
                <w:spacing w:val="62"/>
                <w:w w:val="59"/>
                <w:kern w:val="0"/>
                <w:sz w:val="84"/>
                <w:szCs w:val="84"/>
                <w:lang w:eastAsia="zh-CN"/>
              </w:rPr>
              <w:t>城</w:t>
            </w:r>
            <w:r>
              <w:rPr>
                <w:rFonts w:hint="eastAsia" w:ascii="方正小标宋简体" w:hAnsi="宋体" w:eastAsia="方正小标宋简体"/>
                <w:color w:val="FF0000"/>
                <w:spacing w:val="62"/>
                <w:w w:val="59"/>
                <w:kern w:val="0"/>
                <w:sz w:val="84"/>
                <w:szCs w:val="84"/>
                <w:lang w:val="en-US" w:eastAsia="zh-CN"/>
              </w:rPr>
              <w:t xml:space="preserve"> </w:t>
            </w:r>
            <w:r>
              <w:rPr>
                <w:rFonts w:hint="eastAsia" w:ascii="方正小标宋简体" w:hAnsi="宋体" w:eastAsia="方正小标宋简体"/>
                <w:color w:val="FF0000"/>
                <w:spacing w:val="62"/>
                <w:w w:val="59"/>
                <w:kern w:val="0"/>
                <w:sz w:val="84"/>
                <w:szCs w:val="84"/>
                <w:lang w:eastAsia="zh-CN"/>
              </w:rPr>
              <w:t>建</w:t>
            </w:r>
            <w:r>
              <w:rPr>
                <w:rFonts w:hint="eastAsia" w:ascii="方正小标宋简体" w:hAnsi="宋体" w:eastAsia="方正小标宋简体"/>
                <w:color w:val="FF0000"/>
                <w:spacing w:val="62"/>
                <w:w w:val="59"/>
                <w:kern w:val="0"/>
                <w:sz w:val="84"/>
                <w:szCs w:val="84"/>
                <w:lang w:val="en-US" w:eastAsia="zh-CN"/>
              </w:rPr>
              <w:t xml:space="preserve"> </w:t>
            </w:r>
            <w:r>
              <w:rPr>
                <w:rFonts w:hint="eastAsia" w:ascii="方正小标宋简体" w:hAnsi="宋体" w:eastAsia="方正小标宋简体"/>
                <w:color w:val="FF0000"/>
                <w:spacing w:val="62"/>
                <w:w w:val="59"/>
                <w:kern w:val="0"/>
                <w:sz w:val="84"/>
                <w:szCs w:val="84"/>
                <w:lang w:eastAsia="zh-CN"/>
              </w:rPr>
              <w:t>职</w:t>
            </w:r>
            <w:r>
              <w:rPr>
                <w:rFonts w:hint="eastAsia" w:ascii="方正小标宋简体" w:hAnsi="宋体" w:eastAsia="方正小标宋简体"/>
                <w:color w:val="FF0000"/>
                <w:spacing w:val="62"/>
                <w:w w:val="59"/>
                <w:kern w:val="0"/>
                <w:sz w:val="84"/>
                <w:szCs w:val="84"/>
                <w:lang w:val="en-US" w:eastAsia="zh-CN"/>
              </w:rPr>
              <w:t xml:space="preserve"> </w:t>
            </w:r>
            <w:r>
              <w:rPr>
                <w:rFonts w:hint="eastAsia" w:ascii="方正小标宋简体" w:hAnsi="宋体" w:eastAsia="方正小标宋简体"/>
                <w:color w:val="FF0000"/>
                <w:spacing w:val="62"/>
                <w:w w:val="59"/>
                <w:kern w:val="0"/>
                <w:sz w:val="84"/>
                <w:szCs w:val="84"/>
                <w:lang w:eastAsia="zh-CN"/>
              </w:rPr>
              <w:t>业</w:t>
            </w:r>
            <w:r>
              <w:rPr>
                <w:rFonts w:hint="eastAsia" w:ascii="方正小标宋简体" w:hAnsi="宋体" w:eastAsia="方正小标宋简体"/>
                <w:color w:val="FF0000"/>
                <w:spacing w:val="62"/>
                <w:w w:val="59"/>
                <w:kern w:val="0"/>
                <w:sz w:val="84"/>
                <w:szCs w:val="84"/>
                <w:lang w:val="en-US" w:eastAsia="zh-CN"/>
              </w:rPr>
              <w:t xml:space="preserve"> </w:t>
            </w:r>
            <w:r>
              <w:rPr>
                <w:rFonts w:hint="eastAsia" w:ascii="方正小标宋简体" w:hAnsi="宋体" w:eastAsia="方正小标宋简体"/>
                <w:color w:val="FF0000"/>
                <w:spacing w:val="62"/>
                <w:w w:val="59"/>
                <w:kern w:val="0"/>
                <w:sz w:val="84"/>
                <w:szCs w:val="84"/>
                <w:lang w:eastAsia="zh-CN"/>
              </w:rPr>
              <w:t>学</w:t>
            </w:r>
            <w:r>
              <w:rPr>
                <w:rFonts w:hint="eastAsia" w:ascii="方正小标宋简体" w:hAnsi="宋体" w:eastAsia="方正小标宋简体"/>
                <w:color w:val="FF0000"/>
                <w:spacing w:val="62"/>
                <w:w w:val="59"/>
                <w:kern w:val="0"/>
                <w:sz w:val="84"/>
                <w:szCs w:val="84"/>
                <w:lang w:val="en-US" w:eastAsia="zh-CN"/>
              </w:rPr>
              <w:t xml:space="preserve"> </w:t>
            </w:r>
            <w:r>
              <w:rPr>
                <w:rFonts w:hint="eastAsia" w:ascii="方正小标宋简体" w:hAnsi="宋体" w:eastAsia="方正小标宋简体"/>
                <w:color w:val="FF0000"/>
                <w:spacing w:val="62"/>
                <w:w w:val="59"/>
                <w:kern w:val="0"/>
                <w:sz w:val="84"/>
                <w:szCs w:val="84"/>
                <w:lang w:eastAsia="zh-CN"/>
              </w:rPr>
              <w:t>院</w:t>
            </w:r>
          </w:p>
        </w:tc>
        <w:tc>
          <w:tcPr>
            <w:tcW w:w="1080" w:type="dxa"/>
            <w:vMerge w:val="continue"/>
            <w:vAlign w:val="top"/>
          </w:tcPr>
          <w:p>
            <w:pPr>
              <w:spacing w:line="1000" w:lineRule="exact"/>
              <w:jc w:val="center"/>
              <w:rPr>
                <w:rFonts w:hint="eastAsia" w:ascii="方正小标宋简体" w:hAnsi="宋体" w:eastAsia="方正小标宋简体"/>
                <w:color w:val="FF0000"/>
                <w:spacing w:val="4"/>
                <w:w w:val="59"/>
                <w:kern w:val="0"/>
                <w:sz w:val="72"/>
                <w:szCs w:val="72"/>
              </w:rPr>
            </w:pPr>
          </w:p>
        </w:tc>
      </w:tr>
    </w:tbl>
    <w:p>
      <w:pPr>
        <w:spacing w:line="480" w:lineRule="exact"/>
        <w:jc w:val="center"/>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宋体" w:eastAsia="黑体"/>
          <w:color w:val="000000"/>
          <w:kern w:val="0"/>
          <w:sz w:val="30"/>
          <w:szCs w:val="30"/>
        </w:rPr>
      </w:pPr>
    </w:p>
    <w:tbl>
      <w:tblPr>
        <w:tblStyle w:val="8"/>
        <w:tblW w:w="9080" w:type="dxa"/>
        <w:jc w:val="center"/>
        <w:tblInd w:w="0" w:type="dxa"/>
        <w:tblLayout w:type="fixed"/>
        <w:tblCellMar>
          <w:top w:w="0" w:type="dxa"/>
          <w:left w:w="108" w:type="dxa"/>
          <w:bottom w:w="0" w:type="dxa"/>
          <w:right w:w="108" w:type="dxa"/>
        </w:tblCellMar>
      </w:tblPr>
      <w:tblGrid>
        <w:gridCol w:w="2410"/>
        <w:gridCol w:w="4350"/>
        <w:gridCol w:w="2320"/>
      </w:tblGrid>
      <w:tr>
        <w:tblPrEx>
          <w:tblLayout w:type="fixed"/>
          <w:tblCellMar>
            <w:top w:w="0" w:type="dxa"/>
            <w:left w:w="108" w:type="dxa"/>
            <w:bottom w:w="0" w:type="dxa"/>
            <w:right w:w="108" w:type="dxa"/>
          </w:tblCellMar>
        </w:tblPrEx>
        <w:trPr>
          <w:trHeight w:val="0" w:hRule="atLeast"/>
          <w:jc w:val="center"/>
        </w:trPr>
        <w:tc>
          <w:tcPr>
            <w:tcW w:w="2410" w:type="dxa"/>
            <w:tcBorders>
              <w:top w:val="nil"/>
              <w:left w:val="nil"/>
              <w:bottom w:val="single" w:color="FF0000" w:sz="8" w:space="0"/>
              <w:right w:val="nil"/>
            </w:tcBorders>
            <w:vAlign w:val="top"/>
          </w:tcPr>
          <w:p>
            <w:pPr>
              <w:spacing w:line="480" w:lineRule="exact"/>
              <w:ind w:firstLine="320" w:firstLineChars="100"/>
              <w:rPr>
                <w:rFonts w:hint="eastAsia" w:ascii="仿宋_GB2312" w:eastAsia="仿宋_GB2312"/>
                <w:sz w:val="30"/>
                <w:szCs w:val="30"/>
              </w:rPr>
            </w:pPr>
          </w:p>
        </w:tc>
        <w:tc>
          <w:tcPr>
            <w:tcW w:w="4350" w:type="dxa"/>
            <w:tcBorders>
              <w:top w:val="nil"/>
              <w:left w:val="nil"/>
              <w:bottom w:val="single" w:color="FF0000" w:sz="8" w:space="0"/>
              <w:right w:val="nil"/>
            </w:tcBorders>
            <w:vAlign w:val="top"/>
          </w:tcPr>
          <w:p>
            <w:pPr>
              <w:spacing w:line="480" w:lineRule="exact"/>
              <w:ind w:firstLine="320" w:firstLineChars="100"/>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val="en-US" w:eastAsia="zh-CN"/>
              </w:rPr>
              <w:t>委</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8</w:t>
            </w:r>
            <w:r>
              <w:rPr>
                <w:rFonts w:hint="eastAsia" w:ascii="仿宋_GB2312" w:hAnsi="华文仿宋" w:eastAsia="仿宋_GB2312" w:cs="仿宋_GB2312"/>
                <w:sz w:val="32"/>
                <w:szCs w:val="32"/>
              </w:rPr>
              <w:t>号</w:t>
            </w:r>
          </w:p>
        </w:tc>
        <w:tc>
          <w:tcPr>
            <w:tcW w:w="2320" w:type="dxa"/>
            <w:tcBorders>
              <w:top w:val="nil"/>
              <w:left w:val="nil"/>
              <w:bottom w:val="single" w:color="FF0000" w:sz="8" w:space="0"/>
              <w:right w:val="nil"/>
            </w:tcBorders>
            <w:vAlign w:val="top"/>
          </w:tcPr>
          <w:p>
            <w:pPr>
              <w:spacing w:line="480" w:lineRule="exact"/>
              <w:ind w:firstLine="320" w:firstLineChars="100"/>
              <w:rPr>
                <w:rFonts w:hint="eastAsia" w:ascii="仿宋_GB2312" w:hAnsi="华文仿宋" w:eastAsia="仿宋_GB2312" w:cs="仿宋_GB2312"/>
                <w:sz w:val="32"/>
                <w:szCs w:val="32"/>
              </w:rPr>
            </w:pP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0"/>
          <w:sz w:val="44"/>
          <w:szCs w:val="44"/>
          <w:lang w:eastAsia="zh-CN"/>
        </w:rPr>
      </w:pPr>
      <w:r>
        <w:rPr>
          <w:rFonts w:hint="eastAsia" w:ascii="方正小标宋简体" w:hAnsi="方正小标宋简体" w:eastAsia="方正小标宋简体" w:cs="方正小标宋简体"/>
          <w:b w:val="0"/>
          <w:bCs/>
          <w:color w:val="444444"/>
          <w:spacing w:val="0"/>
          <w:sz w:val="44"/>
          <w:szCs w:val="44"/>
          <w:lang w:eastAsia="zh-CN"/>
        </w:rPr>
        <w:t>关于印发《中共上海城建职业学院委员会</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0"/>
          <w:sz w:val="44"/>
          <w:szCs w:val="44"/>
          <w:lang w:eastAsia="zh-CN"/>
        </w:rPr>
      </w:pPr>
      <w:r>
        <w:rPr>
          <w:rFonts w:hint="eastAsia" w:ascii="方正小标宋简体" w:hAnsi="方正小标宋简体" w:eastAsia="方正小标宋简体" w:cs="方正小标宋简体"/>
          <w:b w:val="0"/>
          <w:bCs/>
          <w:color w:val="444444"/>
          <w:spacing w:val="0"/>
          <w:sz w:val="44"/>
          <w:szCs w:val="44"/>
          <w:lang w:eastAsia="zh-CN"/>
        </w:rPr>
        <w:t>落实党风廉政建设主体责任的实施细则》</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444444"/>
          <w:sz w:val="36"/>
          <w:szCs w:val="36"/>
          <w:lang w:eastAsia="zh-CN"/>
        </w:rPr>
      </w:pPr>
      <w:r>
        <w:rPr>
          <w:rFonts w:hint="eastAsia" w:ascii="方正小标宋简体" w:hAnsi="方正小标宋简体" w:eastAsia="方正小标宋简体" w:cs="方正小标宋简体"/>
          <w:b w:val="0"/>
          <w:bCs/>
          <w:color w:val="444444"/>
          <w:sz w:val="44"/>
          <w:szCs w:val="44"/>
          <w:lang w:val="en-US" w:eastAsia="zh-CN"/>
        </w:rPr>
        <w:t>的通知</w:t>
      </w:r>
    </w:p>
    <w:p>
      <w:pPr>
        <w:spacing w:line="520" w:lineRule="exact"/>
        <w:jc w:val="center"/>
        <w:rPr>
          <w:rFonts w:hint="eastAsia" w:ascii="华文中宋" w:hAnsi="华文中宋" w:eastAsia="华文中宋"/>
          <w:b/>
          <w:bCs/>
          <w:color w:val="auto"/>
          <w:sz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hAnsi="宋体" w:eastAsia="仿宋_GB2312" w:cs="仿宋_GB2312"/>
          <w:sz w:val="32"/>
          <w:szCs w:val="32"/>
        </w:rPr>
        <w:t>各</w:t>
      </w:r>
      <w:r>
        <w:rPr>
          <w:rFonts w:hint="eastAsia" w:ascii="仿宋_GB2312" w:hAnsi="宋体" w:eastAsia="仿宋_GB2312" w:cs="仿宋_GB2312"/>
          <w:sz w:val="32"/>
          <w:szCs w:val="32"/>
          <w:lang w:eastAsia="zh-CN"/>
        </w:rPr>
        <w:t>党（总）支部、各部门、各</w:t>
      </w:r>
      <w:r>
        <w:rPr>
          <w:rFonts w:hint="eastAsia" w:ascii="仿宋_GB2312" w:hAnsi="宋体" w:eastAsia="仿宋_GB2312" w:cs="仿宋_GB2312"/>
          <w:sz w:val="32"/>
          <w:szCs w:val="32"/>
        </w:rPr>
        <w:t>二级</w:t>
      </w:r>
      <w:r>
        <w:rPr>
          <w:rFonts w:hint="eastAsia" w:ascii="仿宋_GB2312" w:hAnsi="宋体" w:eastAsia="仿宋_GB2312" w:cs="仿宋_GB2312"/>
          <w:sz w:val="32"/>
          <w:szCs w:val="32"/>
          <w:lang w:eastAsia="zh-CN"/>
        </w:rPr>
        <w:t>学</w:t>
      </w:r>
      <w:r>
        <w:rPr>
          <w:rFonts w:hint="eastAsia" w:ascii="仿宋_GB2312" w:hAnsi="宋体" w:eastAsia="仿宋_GB2312" w:cs="仿宋_GB2312"/>
          <w:sz w:val="32"/>
          <w:szCs w:val="32"/>
        </w:rPr>
        <w:t>院（系、部</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w:t>
      </w:r>
      <w:r>
        <w:rPr>
          <w:rFonts w:hint="eastAsia" w:ascii="仿宋_GB2312" w:eastAsia="仿宋_GB2312"/>
          <w:color w:val="auto"/>
          <w:sz w:val="32"/>
          <w:szCs w:val="32"/>
          <w:lang w:val="en-US" w:eastAsia="zh-CN"/>
        </w:rPr>
        <w:t xml:space="preserve">  </w:t>
      </w:r>
    </w:p>
    <w:p>
      <w:pPr>
        <w:keepNext w:val="0"/>
        <w:keepLines w:val="0"/>
        <w:pageBreakBefore w:val="0"/>
        <w:widowControl w:val="0"/>
        <w:tabs>
          <w:tab w:val="left" w:pos="2730"/>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《中共上海城建职业学院委员会落实党风廉政建设主体责任的实施细则》经研究通过，现印发给你们，请各党（总）支部参照执行。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894" w:leftChars="303" w:right="0" w:rightChars="0" w:hanging="126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附件：1.</w:t>
      </w:r>
      <w:r>
        <w:rPr>
          <w:rFonts w:hint="eastAsia" w:ascii="仿宋_GB2312" w:eastAsia="仿宋_GB2312"/>
          <w:color w:val="auto"/>
          <w:spacing w:val="-11"/>
          <w:sz w:val="32"/>
          <w:szCs w:val="32"/>
          <w:lang w:val="en-US" w:eastAsia="zh-CN"/>
        </w:rPr>
        <w:t>中共上海城建职业学院委员会落实党风廉政建设主体</w:t>
      </w:r>
      <w:r>
        <w:rPr>
          <w:rFonts w:hint="eastAsia" w:ascii="仿宋_GB2312" w:eastAsia="仿宋_GB2312"/>
          <w:color w:val="auto"/>
          <w:sz w:val="32"/>
          <w:szCs w:val="32"/>
          <w:lang w:val="en-US" w:eastAsia="zh-CN"/>
        </w:rPr>
        <w:t>责任的实施细则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2.上海城建职业学院党风廉政建设责任清单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3.上海城建职业学院党风廉政建设承诺书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4.上海城建职业学院党风廉政建设主体责任计划书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5.上海城建职业学院党风廉政建设主体责任项目书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6.</w:t>
      </w:r>
      <w:r>
        <w:rPr>
          <w:rFonts w:hint="eastAsia" w:ascii="仿宋_GB2312" w:eastAsia="仿宋_GB2312"/>
          <w:color w:val="auto"/>
          <w:spacing w:val="-11"/>
          <w:sz w:val="32"/>
          <w:szCs w:val="32"/>
          <w:lang w:val="en-US" w:eastAsia="zh-CN"/>
        </w:rPr>
        <w:t>上海城建职业学院落实党风廉政建设主体责任评议书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中共上海城建职业学院委员会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2017年</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lang w:eastAsia="zh-CN"/>
        </w:rPr>
        <w:t>日</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pBdr>
          <w:top w:val="single" w:color="auto" w:sz="4" w:space="1"/>
          <w:bottom w:val="single" w:color="auto" w:sz="4" w:space="1"/>
        </w:pBdr>
        <w:ind w:firstLine="140" w:firstLineChars="50"/>
        <w:rPr>
          <w:rFonts w:ascii="仿宋_GB2312" w:eastAsia="仿宋_GB2312"/>
          <w:sz w:val="28"/>
          <w:szCs w:val="28"/>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10</w:t>
      </w:r>
      <w:r>
        <w:rPr>
          <w:rFonts w:hint="eastAsia" w:ascii="仿宋_GB2312" w:eastAsia="仿宋_GB2312" w:cs="仿宋_GB2312"/>
          <w:sz w:val="28"/>
          <w:szCs w:val="28"/>
        </w:rPr>
        <w:t>日印发</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w:t>
      </w: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0"/>
          <w:sz w:val="44"/>
          <w:szCs w:val="44"/>
          <w:lang w:val="en-US" w:eastAsia="zh-CN"/>
        </w:rPr>
      </w:pPr>
      <w:r>
        <w:rPr>
          <w:rFonts w:hint="eastAsia" w:ascii="方正小标宋简体" w:hAnsi="方正小标宋简体" w:eastAsia="方正小标宋简体" w:cs="方正小标宋简体"/>
          <w:b w:val="0"/>
          <w:bCs/>
          <w:color w:val="444444"/>
          <w:spacing w:val="0"/>
          <w:sz w:val="44"/>
          <w:szCs w:val="44"/>
          <w:lang w:val="en-US" w:eastAsia="zh-CN"/>
        </w:rPr>
        <w:t>中共上海城建职业学院委员会</w:t>
      </w:r>
    </w:p>
    <w:p>
      <w:pPr>
        <w:pStyle w:val="5"/>
        <w:keepNext w:val="0"/>
        <w:keepLines w:val="0"/>
        <w:pageBreakBefore w:val="0"/>
        <w:widowControl/>
        <w:kinsoku/>
        <w:wordWrap/>
        <w:overflowPunct/>
        <w:topLinePunct w:val="0"/>
        <w:autoSpaceDE/>
        <w:autoSpaceDN/>
        <w:bidi w:val="0"/>
        <w:adjustRightInd/>
        <w:snapToGrid/>
        <w:spacing w:before="75" w:beforeAutospacing="0" w:after="159" w:afterLines="5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0"/>
          <w:sz w:val="44"/>
          <w:szCs w:val="44"/>
          <w:lang w:val="en-US" w:eastAsia="zh-CN"/>
        </w:rPr>
      </w:pPr>
      <w:r>
        <w:rPr>
          <w:rFonts w:hint="eastAsia" w:ascii="方正小标宋简体" w:hAnsi="方正小标宋简体" w:eastAsia="方正小标宋简体" w:cs="方正小标宋简体"/>
          <w:b w:val="0"/>
          <w:bCs/>
          <w:color w:val="444444"/>
          <w:spacing w:val="0"/>
          <w:sz w:val="44"/>
          <w:szCs w:val="44"/>
          <w:lang w:val="en-US" w:eastAsia="zh-CN"/>
        </w:rPr>
        <w:t>落实党风廉政建设主体责任的实施细则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为深入贯彻党的十八大、十八届六中全会和习近平总书记关于加强党风廉政建设系列讲话精神，落实党风廉政建设主体责任，推动学院事业科学发展，根据《中共上海市委关于落实党风廉政建设责任制的意见》《市教卫党委关于落实党风廉政建设主体责任的实施意见》，结合我院实际，制定本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党委是党风廉政建设和反腐败工作的责任主体，担负着全面领导的政治责任。要牢固树立不抓党风廉政建设就是严重失职的意识，把反腐倡廉建设放在更加突出的位置，列入党委重要议事日程，纳入发展总体规划，融入各项中心任务，建立健全各项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落实党风廉政建设主体责任，要坚持“党委统一领导，党政齐抓共管，纪委组织协调，部门各负其责，依靠师生的支持和参与”的领导体制和工作机制。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党委书记要履行党风廉政建设和反腐败工作第一责任，负责领导、组织学院党风廉政建设工作。要做到重要工作亲自部署、重大问题亲自过问、重点环节亲自协调、重要案件亲自督办。要做廉洁从政的表率，自觉接受广大师生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学院党政班子其他成员向党委书记负责，要坚持“一岗双责”，根据分工抓好职责范围内的党风廉政建设和反腐败工作，对职责范围内的党风廉政建设工作负主要领导责任。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纪委在落实党风廉政建设和反腐败工作中负监督责任，要协助党委加强党风廉政建设和组织协调反腐败工作，督查检查相关部门落实惩治和预防腐败工作任务，经常进行检查监督，严肃查处腐败问题。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第二章  主体责任范围与责任内容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党委在党风廉政建设和反腐败斗争中承担主体责任的范围：要围绕加强领导，选好用好干部，防止和纠正选人用人上的不正之风和腐败问题；坚决纠正损害群众利益的行为；强化对权力运行的制约和监督，从源头上防治腐败；加强对纪检监察工作的领导，支持纪检监察部门查处违纪违法问题；加强自身建设，管好班子，带好队伍，作廉洁从政的表率等五个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党委落实党风廉政建设和反腐败斗争中承担的主体责任内容：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（1）每年年初召开党风廉政建设分析研究专题会议，按照中央、教育部党组和中共上海市委关于党风廉政建设和反腐败斗</w:t>
      </w:r>
      <w:r>
        <w:rPr>
          <w:rFonts w:hint="eastAsia" w:ascii="仿宋_GB2312" w:hAnsi="仿宋_GB2312" w:eastAsia="仿宋_GB2312" w:cs="仿宋_GB2312"/>
          <w:color w:val="auto"/>
          <w:spacing w:val="6"/>
          <w:sz w:val="32"/>
          <w:szCs w:val="32"/>
          <w:lang w:val="en-US" w:eastAsia="zh-CN"/>
        </w:rPr>
        <w:t>争的部署要求，分析研究党风廉政建设状况，查找在贯彻落实中</w:t>
      </w:r>
      <w:r>
        <w:rPr>
          <w:rFonts w:hint="eastAsia" w:ascii="仿宋_GB2312" w:hAnsi="仿宋_GB2312" w:eastAsia="仿宋_GB2312" w:cs="仿宋_GB2312"/>
          <w:color w:val="auto"/>
          <w:sz w:val="32"/>
          <w:szCs w:val="32"/>
          <w:lang w:val="en-US" w:eastAsia="zh-CN"/>
        </w:rPr>
        <w:t xml:space="preserve">央八项规定精神、坚决纠正“四风”、选人用人、权力公开透明运行等方面存在的问题，制订党风廉政建设工作规划、目标要求和具体措施，对党风廉政建设工作任务进行责任分解，并按照计划推动落实。党政领导班子成员对落实“一岗双责”、个人廉洁自律、中央八项规定、坚决纠正“四风”等方面作出具体承诺，填写《廉政承诺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坚持党管干部原则，坚持正确的用人导向，认真贯彻《党政领导干部选拔任用工作条例》，以建立素质高、能力强、作风硬、适合学院转型发展要求的干部队伍为目标，改进学院干部选拔任用办法，强化党风廉政一岗双责意识，选好用好干部，防止和纠正选人用人上的不正之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（3）坚决贯彻执行“三重一大”集体决策制度，强化对权力运行的制约，开展对</w:t>
      </w:r>
      <w:r>
        <w:rPr>
          <w:rFonts w:hint="eastAsia" w:ascii="仿宋_GB2312" w:hAnsi="仿宋_GB2312" w:eastAsia="仿宋_GB2312" w:cs="仿宋_GB2312"/>
          <w:color w:val="000000" w:themeColor="text1"/>
          <w:sz w:val="32"/>
          <w:szCs w:val="32"/>
          <w:lang w:val="en-US" w:eastAsia="zh-CN"/>
        </w:rPr>
        <w:t>学校、二级学院（部、处、室）</w:t>
      </w:r>
      <w:r>
        <w:rPr>
          <w:rFonts w:hint="eastAsia" w:ascii="仿宋_GB2312" w:hAnsi="仿宋_GB2312" w:eastAsia="仿宋_GB2312" w:cs="仿宋_GB2312"/>
          <w:color w:val="auto"/>
          <w:sz w:val="32"/>
          <w:szCs w:val="32"/>
          <w:lang w:val="en-US" w:eastAsia="zh-CN"/>
        </w:rPr>
        <w:t>两级党风廉政建设情况、领导班子和领导干部廉洁从政情况，群众反映的倾向性问题和领导干部存在的苗头性问题，以及在招生考试、科研经费、学术不端、财务管理、基建工程、资产管理等重大事宜中的检查，提出解决问题的办法和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（4）开展党性党风党纪和廉洁从政教育，组织党员干部和广大师生学习党风廉政建设理论和法规制度，增强廉洁从政和遵纪守法意识，加强校园廉政文化建设。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（5）贯彻执行党风廉政建设的政策法规制度，制定完善党风廉政建设规章制度，建立健全教育、监督、惩处并重的反腐倡廉制度体系。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（6）及时听取查办案件工作情况汇报，领导、组织并支持纪检监察部门依纪依法履行职责，并帮助解决在工作中遇到的困难和问题。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 xml:space="preserve">    第八条  </w:t>
      </w:r>
      <w:r>
        <w:rPr>
          <w:rFonts w:hint="eastAsia" w:ascii="仿宋_GB2312" w:hAnsi="仿宋_GB2312" w:eastAsia="仿宋_GB2312" w:cs="仿宋_GB2312"/>
          <w:color w:val="auto"/>
          <w:sz w:val="32"/>
          <w:szCs w:val="32"/>
          <w:lang w:val="en-US" w:eastAsia="zh-CN"/>
        </w:rPr>
        <w:t>学校党政领导班子成员责任：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（一）党委书记责任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党委书记是学院党风廉政建设和反腐败工作第一责任人，对学院反腐倡廉工作负总责。党委书记要牵头抓总，按照上级党风廉政建设和反腐败工作要求，研究贯彻执行具体意见；要紧扣严明党的政治纪律和规矩、作风建设、惩治和预防腐败主要任务，组织推动党风廉政建设责任制落实，做到重要工作亲自部署、重大问题亲自过问、重点环节亲自协调、重要案件亲自督办；要组织并参与党风廉政教育活动，带头讲廉政党课，通过廉政谈话、签订承诺书等方式，督促各级党组织履行主体责任，督促各级干部履行“一岗双责”；要定期监督检查</w:t>
      </w:r>
      <w:r>
        <w:rPr>
          <w:rFonts w:hint="eastAsia" w:ascii="仿宋_GB2312" w:hAnsi="仿宋_GB2312" w:eastAsia="仿宋_GB2312" w:cs="仿宋_GB2312"/>
          <w:color w:val="000000" w:themeColor="text1"/>
          <w:sz w:val="32"/>
          <w:szCs w:val="32"/>
          <w:lang w:val="en-US" w:eastAsia="zh-CN"/>
        </w:rPr>
        <w:t>学校、二级学院（部、处、室）</w:t>
      </w:r>
      <w:r>
        <w:rPr>
          <w:rFonts w:hint="eastAsia" w:ascii="仿宋_GB2312" w:hAnsi="仿宋_GB2312" w:eastAsia="仿宋_GB2312" w:cs="仿宋_GB2312"/>
          <w:color w:val="auto"/>
          <w:sz w:val="32"/>
          <w:szCs w:val="32"/>
          <w:lang w:val="en-US" w:eastAsia="zh-CN"/>
        </w:rPr>
        <w:t>两级领导班子及其成员贯彻执行上级和</w:t>
      </w:r>
      <w:r>
        <w:rPr>
          <w:rFonts w:hint="eastAsia" w:ascii="仿宋_GB2312" w:hAnsi="仿宋_GB2312" w:eastAsia="仿宋_GB2312" w:cs="仿宋_GB2312"/>
          <w:color w:val="000000" w:themeColor="text1"/>
          <w:sz w:val="32"/>
          <w:szCs w:val="32"/>
          <w:lang w:val="en-US" w:eastAsia="zh-CN"/>
        </w:rPr>
        <w:t>院</w:t>
      </w:r>
      <w:r>
        <w:rPr>
          <w:rFonts w:hint="eastAsia" w:ascii="仿宋_GB2312" w:hAnsi="仿宋_GB2312" w:eastAsia="仿宋_GB2312" w:cs="仿宋_GB2312"/>
          <w:color w:val="auto"/>
          <w:sz w:val="32"/>
          <w:szCs w:val="32"/>
          <w:lang w:val="en-US" w:eastAsia="zh-CN"/>
        </w:rPr>
        <w:t>党委重大决策部署情况，督促党委主体责任和纪委监督责任的落实；要加大对学院纪委监察工作的支持力度，突出加强对查信办案工作的领导，排除各种干扰和阻力；要加强纪检监察干部队伍建设，为纪检工作顺利开展提供有力保障；严格执行民主集中制，带头执行党的纪律，带头遵守作风建设和廉洁自律各项规定，带头接受组织和干部师生监督，带动各级领导一级抓一级、一级带一级，树立为民务实清廉的良好形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w:t>
      </w:r>
      <w:r>
        <w:rPr>
          <w:rFonts w:hint="eastAsia" w:ascii="仿宋_GB2312" w:hAnsi="仿宋_GB2312" w:eastAsia="仿宋_GB2312" w:cs="仿宋_GB2312"/>
          <w:color w:val="000000" w:themeColor="text1"/>
          <w:sz w:val="32"/>
          <w:szCs w:val="32"/>
          <w:lang w:val="en-US" w:eastAsia="zh-CN"/>
        </w:rPr>
        <w:t>其他领导班子成员责任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领导班子成员按照“一岗双责”要求，对分管范围内的党风廉政建设负领导责任，是分管范围内党风廉政建设的直接责任人。领导班子成员要主动履职，定期研究、布置、检查和报告分管范围内的领导班子、领导干部党风廉政建设工作情况；要督促指导，把党风廉政建设要求融入分管工作，督促分管部门和单位找准廉政风险点，指导制定风险防控制度；要监督检查分管部门和单位及其负责人廉洁从政、改进作风、履行党风廉政建设责任制情况，形成责任传导机制；要支持纪检监察部门履行职责，配合分管范围内的案件查办工作；要接照“好干部”标准，认真践行“三严三实”要求，严于律己，以身作则；要敢于负责、敢于</w:t>
      </w:r>
      <w:r>
        <w:rPr>
          <w:rFonts w:hint="eastAsia" w:ascii="仿宋_GB2312" w:hAnsi="仿宋_GB2312" w:eastAsia="仿宋_GB2312" w:cs="仿宋_GB2312"/>
          <w:color w:val="auto"/>
          <w:spacing w:val="-6"/>
          <w:sz w:val="32"/>
          <w:szCs w:val="32"/>
          <w:lang w:val="en-US" w:eastAsia="zh-CN"/>
        </w:rPr>
        <w:t>担当，坚决同各种歪风邪气作斗争，推动党风廉政建设取得新成效。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楷体" w:hAnsi="楷体" w:eastAsia="楷体" w:cs="楷体"/>
          <w:b/>
          <w:bCs/>
          <w:color w:val="auto"/>
          <w:sz w:val="32"/>
          <w:szCs w:val="32"/>
          <w:lang w:val="en-US" w:eastAsia="zh-CN"/>
        </w:rPr>
        <w:t xml:space="preserve">第九条  </w:t>
      </w:r>
      <w:r>
        <w:rPr>
          <w:rFonts w:hint="eastAsia" w:ascii="仿宋_GB2312" w:hAnsi="仿宋_GB2312" w:eastAsia="仿宋_GB2312" w:cs="仿宋_GB2312"/>
          <w:color w:val="auto"/>
          <w:spacing w:val="-6"/>
          <w:sz w:val="32"/>
          <w:szCs w:val="32"/>
          <w:lang w:val="en-US" w:eastAsia="zh-CN"/>
        </w:rPr>
        <w:t>各二级学院、职能部门、附属单位负责人责任：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级学院、职能部门、附属单位党组织主要负责人为本部门、单位落实党风廉政建设主体责任的第一责任人。领导班子成员根据工作分工，承担分管范围内的党风廉政建设责任。要按照学院党委要求，制订党风廉政建设工作计划并认真组织实施；要建立健全党政联席会议（部门会议）制度、党务政务公开制度并严格执行；要组织党员干部学习廉政法规，筑牢思想道德防线和党纪国法防线；要强化权力运行制约监督，坚决防止出现违纪违法行为；要规范使用“三公”经费，重点解决“四风”问题，强化师德师风和学风建设；要支持本部门、本单位纪检委员依纪依规履行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保障机制与检查监督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落实党风廉政建设领导体制。成立学院党风廉政建设工作领导小组，负责组织落实党委的决策部署，检查考核</w:t>
      </w:r>
      <w:r>
        <w:rPr>
          <w:rFonts w:hint="eastAsia" w:ascii="仿宋_GB2312" w:hAnsi="仿宋_GB2312" w:eastAsia="仿宋_GB2312" w:cs="仿宋_GB2312"/>
          <w:color w:val="000000" w:themeColor="text1"/>
          <w:sz w:val="32"/>
          <w:szCs w:val="32"/>
          <w:lang w:val="en-US" w:eastAsia="zh-CN"/>
        </w:rPr>
        <w:t>学校、二级学院（部、处、室）</w:t>
      </w:r>
      <w:r>
        <w:rPr>
          <w:rFonts w:hint="eastAsia" w:ascii="仿宋_GB2312" w:hAnsi="仿宋_GB2312" w:eastAsia="仿宋_GB2312" w:cs="仿宋_GB2312"/>
          <w:color w:val="auto"/>
          <w:sz w:val="32"/>
          <w:szCs w:val="32"/>
          <w:lang w:val="en-US" w:eastAsia="zh-CN"/>
        </w:rPr>
        <w:t>两级单位党风廉政建设责任制的执行情况。组长由党委书记担任。小组成员由办公室、组织部、机关党总支、财务处、纪委办公室（监察审计室）主要负责同志组成。办公室设在纪委办公室（监察审计室），负责党风廉政建设的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落实党风廉政工作报告制度。每年年末，党政领导班子成员在责任总结评议后，在民主生活会上开展述责述廉，汇报主体责任落实情况等；每年年末党委以书面形式向上级党委和纪委报告本单位党风廉政建设责任制落实情况；次年年初，党委书记在年度党风廉政建设干部大会上作工作报告，并在一定范围公开。严格执行请示报告制度，在涉及重大问题、重要事项时</w:t>
      </w:r>
      <w:r>
        <w:rPr>
          <w:rFonts w:hint="eastAsia" w:ascii="仿宋_GB2312" w:hAnsi="仿宋_GB2312" w:eastAsia="仿宋_GB2312" w:cs="仿宋_GB2312"/>
          <w:color w:val="auto"/>
          <w:spacing w:val="-11"/>
          <w:sz w:val="32"/>
          <w:szCs w:val="32"/>
          <w:lang w:val="en-US" w:eastAsia="zh-CN"/>
        </w:rPr>
        <w:t>必须按规定请示报告。严格执行领导干部个人事项报告和请示制度。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加强检查考核。建立科学化、规范化、制度化的党风廉政建设检查考核机制，明确检查考核的内容、方法、程序。把党风廉政建设作为领导班子和领导干部目标管理的重要内容，以及业绩评定、年度考核、奖励惩处和干部选拔任用的重要依据，切实加大党风廉政建设考核权重，实行党风廉政“一票否决”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提高纪检监察队伍素质。按照中央深化党的纪律检查体制改革的要求，加强纪检监察干部队伍建设，配齐配强选好纪检监察干部。注重对纪检监察干部的教育培养管理，加强业务培训，不断提高职业素养和能力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加强责任追究。制定实施切实可行的责任追究制度，对抓党风廉政建设和反腐败工作不力、造成不良影响的，严肃追究领导责任。健全责任分解、检查监督、倒查追究的完整链条，有错必纠、有责必问。坚持谁的问题谁负责，谁分管的领域、单位出问题谁负责。坚决执行“一案双查”，既要追究当事人责任，又要追究相关领导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第四章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本实施细则自发布之日起施行。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sectPr>
          <w:footerReference r:id="rId3"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黑体" w:hAnsi="华文中宋" w:eastAsia="黑体" w:cs="宋体"/>
          <w:color w:val="000000"/>
          <w:sz w:val="29"/>
          <w:szCs w:val="29"/>
          <w:lang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2</w:t>
      </w:r>
    </w:p>
    <w:p>
      <w:pPr>
        <w:keepNext w:val="0"/>
        <w:keepLines w:val="0"/>
        <w:pageBreakBefore w:val="0"/>
        <w:widowControl/>
        <w:kinsoku/>
        <w:wordWrap/>
        <w:overflowPunct/>
        <w:topLinePunct w:val="0"/>
        <w:autoSpaceDE/>
        <w:autoSpaceDN/>
        <w:bidi w:val="0"/>
        <w:adjustRightInd/>
        <w:spacing w:beforeAutospacing="0" w:afterAutospacing="0" w:line="500" w:lineRule="exact"/>
        <w:ind w:left="0" w:leftChars="0" w:right="0" w:rightChars="0" w:firstLine="0" w:firstLineChars="0"/>
        <w:jc w:val="center"/>
        <w:textAlignment w:val="auto"/>
        <w:outlineLvl w:val="9"/>
        <w:rPr>
          <w:rFonts w:ascii="黑体" w:hAnsi="华文中宋" w:eastAsia="黑体" w:cs="宋体"/>
          <w:color w:val="000000"/>
          <w:sz w:val="29"/>
          <w:szCs w:val="29"/>
        </w:rPr>
      </w:pPr>
      <w:r>
        <w:rPr>
          <w:rFonts w:hint="eastAsia" w:ascii="黑体" w:hAnsi="华文中宋" w:eastAsia="黑体" w:cs="宋体"/>
          <w:color w:val="000000"/>
          <w:sz w:val="29"/>
          <w:szCs w:val="29"/>
        </w:rPr>
        <w:t>上海城建职业学院党风廉政建设责任清单</w:t>
      </w:r>
    </w:p>
    <w:p>
      <w:pPr>
        <w:keepNext w:val="0"/>
        <w:keepLines w:val="0"/>
        <w:pageBreakBefore w:val="0"/>
        <w:widowControl/>
        <w:kinsoku/>
        <w:wordWrap/>
        <w:overflowPunct/>
        <w:topLinePunct w:val="0"/>
        <w:autoSpaceDE/>
        <w:autoSpaceDN/>
        <w:bidi w:val="0"/>
        <w:adjustRightInd/>
        <w:snapToGrid w:val="0"/>
        <w:spacing w:beforeAutospacing="0" w:afterAutospacing="0" w:line="500" w:lineRule="exact"/>
        <w:ind w:left="0" w:leftChars="0" w:right="0" w:rightChars="0" w:firstLine="0" w:firstLineChars="0"/>
        <w:jc w:val="center"/>
        <w:textAlignment w:val="auto"/>
        <w:outlineLvl w:val="9"/>
        <w:rPr>
          <w:rFonts w:ascii="宋体" w:hAnsi="宋体" w:eastAsia="宋体" w:cs="宋体"/>
          <w:b/>
          <w:bCs/>
          <w:color w:val="000000"/>
          <w:sz w:val="26"/>
          <w:szCs w:val="26"/>
        </w:rPr>
      </w:pPr>
      <w:r>
        <w:rPr>
          <w:rFonts w:hint="eastAsia" w:ascii="宋体" w:hAnsi="宋体" w:eastAsia="宋体" w:cs="宋体"/>
          <w:b/>
          <w:bCs/>
          <w:color w:val="000000"/>
          <w:sz w:val="26"/>
          <w:szCs w:val="26"/>
        </w:rPr>
        <w:t xml:space="preserve">一、党委主体责任 </w:t>
      </w:r>
    </w:p>
    <w:tbl>
      <w:tblPr>
        <w:tblStyle w:val="8"/>
        <w:tblW w:w="12919" w:type="dxa"/>
        <w:jc w:val="center"/>
        <w:tblInd w:w="0" w:type="dxa"/>
        <w:tblLayout w:type="fixed"/>
        <w:tblCellMar>
          <w:top w:w="0" w:type="dxa"/>
          <w:left w:w="95" w:type="dxa"/>
          <w:bottom w:w="0" w:type="dxa"/>
          <w:right w:w="95" w:type="dxa"/>
        </w:tblCellMar>
      </w:tblPr>
      <w:tblGrid>
        <w:gridCol w:w="757"/>
        <w:gridCol w:w="1276"/>
        <w:gridCol w:w="7938"/>
        <w:gridCol w:w="2948"/>
      </w:tblGrid>
      <w:tr>
        <w:tblPrEx>
          <w:tblLayout w:type="fixed"/>
          <w:tblCellMar>
            <w:top w:w="0" w:type="dxa"/>
            <w:left w:w="95" w:type="dxa"/>
            <w:bottom w:w="0" w:type="dxa"/>
            <w:right w:w="95" w:type="dxa"/>
          </w:tblCellMar>
        </w:tblPrEx>
        <w:trPr>
          <w:cantSplit/>
          <w:jc w:val="center"/>
        </w:trPr>
        <w:tc>
          <w:tcPr>
            <w:tcW w:w="757" w:type="dxa"/>
            <w:tcBorders>
              <w:top w:val="single" w:color="000000" w:sz="6" w:space="0"/>
              <w:left w:val="single" w:color="000000" w:sz="6" w:space="0"/>
              <w:bottom w:val="single" w:color="000000" w:sz="6" w:space="0"/>
              <w:right w:val="single" w:color="000000" w:sz="6" w:space="0"/>
            </w:tcBorders>
          </w:tcPr>
          <w:p>
            <w:pPr>
              <w:widowControl/>
              <w:snapToGrid w:val="0"/>
              <w:spacing w:before="100" w:beforeAutospacing="1" w:after="100" w:afterAutospacing="1" w:line="299"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序号 </w:t>
            </w:r>
          </w:p>
        </w:tc>
        <w:tc>
          <w:tcPr>
            <w:tcW w:w="1276"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责任清单 </w:t>
            </w:r>
          </w:p>
        </w:tc>
        <w:tc>
          <w:tcPr>
            <w:tcW w:w="7938"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具体内容 </w:t>
            </w:r>
          </w:p>
        </w:tc>
        <w:tc>
          <w:tcPr>
            <w:tcW w:w="2948"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责任单位 </w:t>
            </w:r>
          </w:p>
        </w:tc>
      </w:tr>
      <w:tr>
        <w:tblPrEx>
          <w:tblLayout w:type="fixed"/>
          <w:tblCellMar>
            <w:top w:w="0" w:type="dxa"/>
            <w:left w:w="95" w:type="dxa"/>
            <w:bottom w:w="0" w:type="dxa"/>
            <w:right w:w="95" w:type="dxa"/>
          </w:tblCellMar>
        </w:tblPrEx>
        <w:trPr>
          <w:cantSplit/>
          <w:jc w:val="center"/>
        </w:trPr>
        <w:tc>
          <w:tcPr>
            <w:tcW w:w="757" w:type="dxa"/>
            <w:vMerge w:val="restart"/>
            <w:tcBorders>
              <w:top w:val="nil"/>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1</w:t>
            </w:r>
          </w:p>
        </w:tc>
        <w:tc>
          <w:tcPr>
            <w:tcW w:w="1276" w:type="dxa"/>
            <w:vMerge w:val="restart"/>
            <w:tcBorders>
              <w:top w:val="nil"/>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加强组织领导 </w:t>
            </w: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中宋" w:eastAsia="仿宋_GB2312" w:cs="宋体"/>
                <w:b/>
                <w:bCs/>
                <w:color w:val="000000"/>
                <w:sz w:val="26"/>
                <w:szCs w:val="26"/>
              </w:rPr>
            </w:pPr>
            <w:r>
              <w:rPr>
                <w:rFonts w:hint="eastAsia" w:ascii="仿宋_GB2312" w:hAnsi="华文仿宋" w:eastAsia="仿宋_GB2312" w:cs="宋体"/>
                <w:color w:val="000000"/>
                <w:sz w:val="26"/>
                <w:szCs w:val="26"/>
              </w:rPr>
              <w:t>1．贯彻落实党中央、市委和市教卫党委关于加强党风廉政建设的部署要求，分析研判形势，研究制</w:t>
            </w:r>
            <w:r>
              <w:rPr>
                <w:rFonts w:hint="eastAsia" w:ascii="仿宋_GB2312" w:hAnsi="华文仿宋" w:eastAsia="仿宋_GB2312" w:cs="宋体"/>
                <w:color w:val="000000"/>
                <w:sz w:val="26"/>
                <w:szCs w:val="26"/>
                <w:lang w:eastAsia="zh-CN"/>
              </w:rPr>
              <w:t>订</w:t>
            </w:r>
            <w:r>
              <w:rPr>
                <w:rFonts w:hint="eastAsia" w:ascii="仿宋_GB2312" w:hAnsi="华文仿宋" w:eastAsia="仿宋_GB2312" w:cs="宋体"/>
                <w:color w:val="000000"/>
                <w:sz w:val="26"/>
                <w:szCs w:val="26"/>
              </w:rPr>
              <w:t>学院党风廉政建设工作计划；定期召开学院党风廉政建设专题会议，部署工作任务并组织实施。</w:t>
            </w:r>
            <w:r>
              <w:rPr>
                <w:rFonts w:hint="eastAsia" w:ascii="仿宋_GB2312" w:hAnsi="华文中宋" w:eastAsia="仿宋_GB2312" w:cs="宋体"/>
                <w:b/>
                <w:bCs/>
                <w:color w:val="000000"/>
                <w:sz w:val="26"/>
                <w:szCs w:val="26"/>
              </w:rPr>
              <w:t xml:space="preserve"> </w:t>
            </w:r>
          </w:p>
        </w:tc>
        <w:tc>
          <w:tcPr>
            <w:tcW w:w="2948" w:type="dxa"/>
            <w:tcBorders>
              <w:top w:val="single" w:color="000000" w:sz="6" w:space="0"/>
              <w:left w:val="nil"/>
              <w:bottom w:val="single" w:color="000000" w:sz="6" w:space="0"/>
              <w:right w:val="single" w:color="000000" w:sz="6" w:space="0"/>
            </w:tcBorders>
            <w:vAlign w:val="center"/>
          </w:tcPr>
          <w:p>
            <w:pPr>
              <w:widowControl/>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办公室、纪检监察审计室</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2．明确党政班子成员在学院党风廉政建设中的职责和任务分工，推动工作任务落实。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办公室、纪检监察审计室</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3．督促二级学院党组织、职能部门履行主体责任，层层落实责任，形成一级抓一级、一级对一级负责的工作格局。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办公室、纪检监察审计室</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4．加强对二级学院党组织、职能部门党风廉政建设责任制检查考核的领导，研究制定检查考核规则和程序，安排部署检查考核工作。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办公室、纪检监察审计室</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auto" w:sz="4"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5．及时向上级党委和纪检组报告学院党风廉政建设和反腐败工作决策部署情况以及重要工作推进情况。严格执行请示报告制度，在涉及</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党风廉政建设和反腐败工作重大问题、重要事项时必须按规定向上级党委和纪检组请示。</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办公室、纪检监察审计室</w:t>
            </w:r>
          </w:p>
        </w:tc>
      </w:tr>
      <w:tr>
        <w:tblPrEx>
          <w:tblLayout w:type="fixed"/>
          <w:tblCellMar>
            <w:top w:w="0" w:type="dxa"/>
            <w:left w:w="95" w:type="dxa"/>
            <w:bottom w:w="0" w:type="dxa"/>
            <w:right w:w="95" w:type="dxa"/>
          </w:tblCellMar>
        </w:tblPrEx>
        <w:trPr>
          <w:cantSplit/>
          <w:trHeight w:val="1005" w:hRule="atLeast"/>
          <w:jc w:val="center"/>
        </w:trPr>
        <w:tc>
          <w:tcPr>
            <w:tcW w:w="757" w:type="dxa"/>
            <w:vMerge w:val="restart"/>
            <w:tcBorders>
              <w:top w:val="single" w:color="auto" w:sz="4" w:space="0"/>
              <w:left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2</w:t>
            </w:r>
          </w:p>
        </w:tc>
        <w:tc>
          <w:tcPr>
            <w:tcW w:w="1276" w:type="dxa"/>
            <w:vMerge w:val="restart"/>
            <w:tcBorders>
              <w:top w:val="single" w:color="auto" w:sz="4" w:space="0"/>
              <w:left w:val="nil"/>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严明政治纪律和政治规矩</w:t>
            </w:r>
          </w:p>
        </w:tc>
        <w:tc>
          <w:tcPr>
            <w:tcW w:w="7938" w:type="dxa"/>
            <w:tcBorders>
              <w:top w:val="single" w:color="000000" w:sz="6" w:space="0"/>
              <w:left w:val="nil"/>
              <w:bottom w:val="single" w:color="auto" w:sz="4" w:space="0"/>
              <w:right w:val="single" w:color="000000" w:sz="6" w:space="0"/>
            </w:tcBorders>
            <w:vAlign w:val="center"/>
          </w:tcPr>
          <w:p>
            <w:pPr>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6.加强对中央、市委、</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各项重大决策、重要事项、重点工作贯彻落实情况的监督检查，坚决查处有令不行、有禁不止，各自为政、阳奉阴违的行为，保证政令畅通。</w:t>
            </w:r>
          </w:p>
        </w:tc>
        <w:tc>
          <w:tcPr>
            <w:tcW w:w="2948" w:type="dxa"/>
            <w:tcBorders>
              <w:top w:val="single" w:color="000000" w:sz="6" w:space="0"/>
              <w:left w:val="nil"/>
              <w:bottom w:val="single" w:color="auto" w:sz="4"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办公室、纪检监察审计室</w:t>
            </w:r>
          </w:p>
        </w:tc>
      </w:tr>
      <w:tr>
        <w:tblPrEx>
          <w:tblLayout w:type="fixed"/>
          <w:tblCellMar>
            <w:top w:w="0" w:type="dxa"/>
            <w:left w:w="95" w:type="dxa"/>
            <w:bottom w:w="0" w:type="dxa"/>
            <w:right w:w="95" w:type="dxa"/>
          </w:tblCellMar>
        </w:tblPrEx>
        <w:trPr>
          <w:cantSplit/>
          <w:trHeight w:val="815" w:hRule="atLeast"/>
          <w:jc w:val="center"/>
        </w:trPr>
        <w:tc>
          <w:tcPr>
            <w:tcW w:w="757" w:type="dxa"/>
            <w:vMerge w:val="continue"/>
            <w:tcBorders>
              <w:left w:val="single" w:color="000000" w:sz="6" w:space="0"/>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1276" w:type="dxa"/>
            <w:vMerge w:val="continue"/>
            <w:tcBorders>
              <w:left w:val="nil"/>
              <w:bottom w:val="single" w:color="auto" w:sz="4"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b/>
                <w:bCs/>
                <w:color w:val="000000"/>
                <w:sz w:val="26"/>
                <w:szCs w:val="26"/>
              </w:rPr>
            </w:pPr>
          </w:p>
        </w:tc>
        <w:tc>
          <w:tcPr>
            <w:tcW w:w="7938" w:type="dxa"/>
            <w:tcBorders>
              <w:top w:val="single" w:color="auto" w:sz="4" w:space="0"/>
              <w:left w:val="nil"/>
              <w:bottom w:val="single" w:color="auto" w:sz="4" w:space="0"/>
              <w:right w:val="single" w:color="000000" w:sz="6" w:space="0"/>
            </w:tcBorders>
            <w:vAlign w:val="center"/>
          </w:tcPr>
          <w:p>
            <w:pPr>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7.严格执行党的民主集中制原则，严肃党内政治生活，坚持和落实各项议事决策程序和组织生活会、民主生活会制度。</w:t>
            </w:r>
          </w:p>
        </w:tc>
        <w:tc>
          <w:tcPr>
            <w:tcW w:w="2948" w:type="dxa"/>
            <w:tcBorders>
              <w:top w:val="single" w:color="auto" w:sz="4" w:space="0"/>
              <w:left w:val="nil"/>
              <w:bottom w:val="single" w:color="auto" w:sz="4"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办公室、组织部</w:t>
            </w:r>
          </w:p>
        </w:tc>
      </w:tr>
      <w:tr>
        <w:tblPrEx>
          <w:tblLayout w:type="fixed"/>
          <w:tblCellMar>
            <w:top w:w="0" w:type="dxa"/>
            <w:left w:w="95" w:type="dxa"/>
            <w:bottom w:w="0" w:type="dxa"/>
            <w:right w:w="95" w:type="dxa"/>
          </w:tblCellMar>
        </w:tblPrEx>
        <w:trPr>
          <w:cantSplit/>
          <w:trHeight w:val="1413" w:hRule="atLeast"/>
          <w:jc w:val="center"/>
        </w:trPr>
        <w:tc>
          <w:tcPr>
            <w:tcW w:w="757" w:type="dxa"/>
            <w:tcBorders>
              <w:top w:val="single" w:color="auto" w:sz="4" w:space="0"/>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2</w:t>
            </w:r>
          </w:p>
        </w:tc>
        <w:tc>
          <w:tcPr>
            <w:tcW w:w="1276" w:type="dxa"/>
            <w:tcBorders>
              <w:top w:val="single" w:color="auto" w:sz="4"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严明政治纪律和政治规矩</w:t>
            </w:r>
          </w:p>
        </w:tc>
        <w:tc>
          <w:tcPr>
            <w:tcW w:w="7938" w:type="dxa"/>
            <w:tcBorders>
              <w:top w:val="single" w:color="auto" w:sz="4" w:space="0"/>
              <w:left w:val="nil"/>
              <w:bottom w:val="single" w:color="000000" w:sz="6" w:space="0"/>
              <w:right w:val="single" w:color="000000" w:sz="6" w:space="0"/>
            </w:tcBorders>
            <w:vAlign w:val="center"/>
          </w:tcPr>
          <w:p>
            <w:pPr>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8.组织开展专项检查，严肃查处对上级党委决策部署落实不到位、执行不坚决和慢作为、不作为、乱作为等行为。坚决纠正有令不行、有禁不止，各自为政、阳奉阴违的行为。</w:t>
            </w:r>
          </w:p>
        </w:tc>
        <w:tc>
          <w:tcPr>
            <w:tcW w:w="2948" w:type="dxa"/>
            <w:tcBorders>
              <w:top w:val="single" w:color="auto" w:sz="4"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纪检监察审计室</w:t>
            </w:r>
          </w:p>
        </w:tc>
      </w:tr>
      <w:tr>
        <w:tblPrEx>
          <w:tblLayout w:type="fixed"/>
          <w:tblCellMar>
            <w:top w:w="0" w:type="dxa"/>
            <w:left w:w="95" w:type="dxa"/>
            <w:bottom w:w="0" w:type="dxa"/>
            <w:right w:w="95" w:type="dxa"/>
          </w:tblCellMar>
        </w:tblPrEx>
        <w:trPr>
          <w:cantSplit/>
          <w:jc w:val="center"/>
        </w:trPr>
        <w:tc>
          <w:tcPr>
            <w:tcW w:w="757" w:type="dxa"/>
            <w:vMerge w:val="restart"/>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3</w:t>
            </w:r>
          </w:p>
        </w:tc>
        <w:tc>
          <w:tcPr>
            <w:tcW w:w="1276" w:type="dxa"/>
            <w:vMerge w:val="restart"/>
            <w:tcBorders>
              <w:top w:val="nil"/>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选好用好干部</w:t>
            </w: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9．严格执行《</w:t>
            </w:r>
            <w:r>
              <w:rPr>
                <w:rFonts w:hint="eastAsia" w:ascii="仿宋_GB2312" w:hAnsi="华文仿宋" w:eastAsia="仿宋_GB2312" w:cs="宋体"/>
                <w:color w:val="000000" w:themeColor="text1"/>
                <w:sz w:val="26"/>
                <w:szCs w:val="26"/>
              </w:rPr>
              <w:t>党政领导干部选拔任用</w:t>
            </w:r>
            <w:r>
              <w:rPr>
                <w:rFonts w:hint="eastAsia" w:ascii="仿宋_GB2312" w:hAnsi="华文仿宋" w:eastAsia="仿宋_GB2312" w:cs="宋体"/>
                <w:color w:val="000000" w:themeColor="text1"/>
                <w:sz w:val="26"/>
                <w:szCs w:val="26"/>
                <w:lang w:eastAsia="zh-CN"/>
              </w:rPr>
              <w:t>工作</w:t>
            </w:r>
            <w:r>
              <w:rPr>
                <w:rFonts w:hint="eastAsia" w:ascii="仿宋_GB2312" w:hAnsi="华文仿宋" w:eastAsia="仿宋_GB2312" w:cs="宋体"/>
                <w:color w:val="000000" w:themeColor="text1"/>
                <w:sz w:val="26"/>
                <w:szCs w:val="26"/>
              </w:rPr>
              <w:t>条例</w:t>
            </w:r>
            <w:r>
              <w:rPr>
                <w:rFonts w:hint="eastAsia" w:ascii="仿宋_GB2312" w:hAnsi="华文仿宋" w:eastAsia="仿宋_GB2312" w:cs="宋体"/>
                <w:color w:val="000000"/>
                <w:sz w:val="26"/>
                <w:szCs w:val="26"/>
              </w:rPr>
              <w:t xml:space="preserve">》，深化干部制度改革，规范选拔任用程序，强化廉政审查把关，健全科学选人用人机制。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组织部 </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10．强化党委、分管领导和组织部门在干部选拔任用中的担当意识。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组织部 </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11．严格执行《</w:t>
            </w:r>
            <w:r>
              <w:rPr>
                <w:rFonts w:hint="eastAsia" w:ascii="仿宋_GB2312" w:hAnsi="华文仿宋" w:eastAsia="仿宋_GB2312" w:cs="宋体"/>
                <w:color w:val="000000" w:themeColor="text1"/>
                <w:sz w:val="26"/>
                <w:szCs w:val="26"/>
              </w:rPr>
              <w:t>党政领导干部选拔任用工作责任追究办法</w:t>
            </w:r>
            <w:r>
              <w:rPr>
                <w:rFonts w:hint="eastAsia" w:ascii="仿宋_GB2312" w:hAnsi="华文仿宋" w:eastAsia="仿宋_GB2312" w:cs="宋体"/>
                <w:color w:val="000000"/>
                <w:sz w:val="26"/>
                <w:szCs w:val="26"/>
              </w:rPr>
              <w:t xml:space="preserve">》，建立干部选拔任用记实制度、倒查机制，有效落实“一报告两评议”办法、防止用人失察失误。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组织部 </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12．加强对党员干部的日常管理和监督，落实领导干部廉政谈话、提醒谈话、诫勉谈话制度；加强干部专项审计和任期审计，抓早抓小，防微杜渐。 </w:t>
            </w:r>
          </w:p>
        </w:tc>
        <w:tc>
          <w:tcPr>
            <w:tcW w:w="2948" w:type="dxa"/>
            <w:tcBorders>
              <w:top w:val="single" w:color="000000" w:sz="6" w:space="0"/>
              <w:left w:val="nil"/>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组织部 </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left="0" w:leftChars="0" w:right="0" w:rightChars="0" w:firstLine="0" w:firstLineChars="0"/>
              <w:jc w:val="center"/>
              <w:textAlignment w:val="auto"/>
              <w:outlineLvl w:val="9"/>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纪检监察审计室</w:t>
            </w:r>
          </w:p>
        </w:tc>
      </w:tr>
      <w:tr>
        <w:tblPrEx>
          <w:tblLayout w:type="fixed"/>
          <w:tblCellMar>
            <w:top w:w="0" w:type="dxa"/>
            <w:left w:w="95" w:type="dxa"/>
            <w:bottom w:w="0" w:type="dxa"/>
            <w:right w:w="95" w:type="dxa"/>
          </w:tblCellMar>
        </w:tblPrEx>
        <w:trPr>
          <w:cantSplit/>
          <w:jc w:val="center"/>
        </w:trPr>
        <w:tc>
          <w:tcPr>
            <w:tcW w:w="757" w:type="dxa"/>
            <w:vMerge w:val="restart"/>
            <w:tcBorders>
              <w:top w:val="single" w:color="auto" w:sz="4"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4</w:t>
            </w:r>
          </w:p>
        </w:tc>
        <w:tc>
          <w:tcPr>
            <w:tcW w:w="1276" w:type="dxa"/>
            <w:vMerge w:val="restart"/>
            <w:tcBorders>
              <w:top w:val="single" w:color="auto" w:sz="4"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抓好作风建设 </w:t>
            </w: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13．持之以恒深入落实中央八项规定精神，加强学院落实中央八项规定精神制度建设和执行，建立健全作风建设长效机制。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办公室、纪委</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14．认真贯彻落实领导干部廉洁自律规定，加强公务用车、公款出国出境、办公用房、职务消费、兼职等管理。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办公室、组织部、人事处、后勤保卫处、财务处 </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15．改进调查研究，改进文风会风，建立健全联系服务师生的长效机制。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w:t>
            </w:r>
          </w:p>
        </w:tc>
      </w:tr>
      <w:tr>
        <w:tblPrEx>
          <w:tblLayout w:type="fixed"/>
          <w:tblCellMar>
            <w:top w:w="0" w:type="dxa"/>
            <w:left w:w="95" w:type="dxa"/>
            <w:bottom w:w="0" w:type="dxa"/>
            <w:right w:w="95" w:type="dxa"/>
          </w:tblCellMar>
        </w:tblPrEx>
        <w:trPr>
          <w:cantSplit/>
          <w:trHeight w:val="427" w:hRule="atLeas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16．加强师德师风建设。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312"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人事处、宣传部、教务处、校工会 </w:t>
            </w:r>
          </w:p>
        </w:tc>
      </w:tr>
      <w:tr>
        <w:tblPrEx>
          <w:tblLayout w:type="fixed"/>
          <w:tblCellMar>
            <w:top w:w="0" w:type="dxa"/>
            <w:left w:w="95" w:type="dxa"/>
            <w:bottom w:w="0" w:type="dxa"/>
            <w:right w:w="95" w:type="dxa"/>
          </w:tblCellMar>
        </w:tblPrEx>
        <w:trPr>
          <w:cantSplit/>
          <w:jc w:val="center"/>
        </w:trPr>
        <w:tc>
          <w:tcPr>
            <w:tcW w:w="757" w:type="dxa"/>
            <w:vMerge w:val="restart"/>
            <w:tcBorders>
              <w:top w:val="single" w:color="auto" w:sz="4"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5</w:t>
            </w:r>
          </w:p>
        </w:tc>
        <w:tc>
          <w:tcPr>
            <w:tcW w:w="1276" w:type="dxa"/>
            <w:vMerge w:val="restart"/>
            <w:tcBorders>
              <w:top w:val="single" w:color="auto" w:sz="4"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领导和支持纪检监察工作 </w:t>
            </w: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17．支持纪委（监察处）依纪依法履行职责；及时听取纪检监察工作及重点信访案件情况的汇报，提出指导性意见、建议；解决纪检监察工作中遇到的困难和问题</w:t>
            </w:r>
            <w:r>
              <w:rPr>
                <w:rFonts w:hint="eastAsia" w:ascii="仿宋_GB2312" w:hAnsi="华文仿宋" w:eastAsia="仿宋_GB2312" w:cs="宋体"/>
                <w:color w:val="000000"/>
                <w:sz w:val="26"/>
                <w:szCs w:val="26"/>
                <w:lang w:eastAsia="zh-CN"/>
              </w:rPr>
              <w:t>。</w:t>
            </w:r>
            <w:r>
              <w:rPr>
                <w:rFonts w:hint="eastAsia" w:ascii="仿宋_GB2312" w:hAnsi="华文仿宋" w:eastAsia="仿宋_GB2312" w:cs="宋体"/>
                <w:color w:val="000000"/>
                <w:sz w:val="26"/>
                <w:szCs w:val="26"/>
              </w:rPr>
              <w:t xml:space="preserve">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党委</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18．配齐配强纪检监察干部，加强纪检监察干部的培养、管理、使用。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组织部、人事处 </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19．以零容忍态度支持纪委执纪办案，做到有案必查、有错必纠，始终保持惩治腐败的高压态势。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党委</w:t>
            </w:r>
          </w:p>
        </w:tc>
      </w:tr>
      <w:tr>
        <w:tblPrEx>
          <w:tblLayout w:type="fixed"/>
          <w:tblCellMar>
            <w:top w:w="0" w:type="dxa"/>
            <w:left w:w="95" w:type="dxa"/>
            <w:bottom w:w="0" w:type="dxa"/>
            <w:right w:w="95" w:type="dxa"/>
          </w:tblCellMar>
        </w:tblPrEx>
        <w:trPr>
          <w:cantSplit/>
          <w:trHeight w:val="471" w:hRule="atLeas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20．党政班子成员要自觉接受监督。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党委</w:t>
            </w:r>
          </w:p>
        </w:tc>
      </w:tr>
      <w:tr>
        <w:tblPrEx>
          <w:tblLayout w:type="fixed"/>
          <w:tblCellMar>
            <w:top w:w="0" w:type="dxa"/>
            <w:left w:w="95" w:type="dxa"/>
            <w:bottom w:w="0" w:type="dxa"/>
            <w:right w:w="95" w:type="dxa"/>
          </w:tblCellMar>
        </w:tblPrEx>
        <w:trPr>
          <w:cantSplit/>
          <w:jc w:val="center"/>
        </w:trPr>
        <w:tc>
          <w:tcPr>
            <w:tcW w:w="757" w:type="dxa"/>
            <w:vMerge w:val="restart"/>
            <w:tcBorders>
              <w:top w:val="single" w:color="auto" w:sz="4" w:space="0"/>
              <w:left w:val="single" w:color="000000" w:sz="6"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6</w:t>
            </w:r>
          </w:p>
        </w:tc>
        <w:tc>
          <w:tcPr>
            <w:tcW w:w="1276" w:type="dxa"/>
            <w:vMerge w:val="restart"/>
            <w:tcBorders>
              <w:top w:val="single" w:color="auto" w:sz="4" w:space="0"/>
              <w:left w:val="nil"/>
              <w:bottom w:val="single" w:color="auto" w:sz="4"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从源头上预防腐败</w:t>
            </w: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中宋" w:eastAsia="仿宋_GB2312" w:cs="宋体"/>
                <w:b/>
                <w:bCs/>
                <w:color w:val="000000"/>
                <w:sz w:val="26"/>
                <w:szCs w:val="26"/>
              </w:rPr>
            </w:pPr>
            <w:r>
              <w:rPr>
                <w:rFonts w:hint="eastAsia" w:ascii="仿宋_GB2312" w:hAnsi="华文仿宋" w:eastAsia="仿宋_GB2312" w:cs="宋体"/>
                <w:color w:val="000000"/>
                <w:sz w:val="26"/>
                <w:szCs w:val="26"/>
              </w:rPr>
              <w:t>21．深入推进依法治教、依法治校工作，构建决策科学、执行坚决、监督有力的权力运行体系；完善</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内部治理结构，贯彻落实《上海城建职业学院章程》。</w:t>
            </w:r>
            <w:r>
              <w:rPr>
                <w:rFonts w:hint="eastAsia" w:ascii="仿宋_GB2312" w:hAnsi="华文中宋" w:eastAsia="仿宋_GB2312" w:cs="宋体"/>
                <w:b/>
                <w:bCs/>
                <w:color w:val="000000"/>
                <w:sz w:val="26"/>
                <w:szCs w:val="26"/>
              </w:rPr>
              <w:t xml:space="preserve"> </w:t>
            </w:r>
            <w:r>
              <w:rPr>
                <w:rFonts w:ascii="宋体" w:hAnsi="宋体" w:eastAsia="宋体" w:cs="宋体"/>
                <w:color w:val="000000"/>
                <w:kern w:val="0"/>
                <w:sz w:val="24"/>
                <w:szCs w:val="24"/>
              </w:rPr>
              <w:t>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办公室 </w:t>
            </w:r>
          </w:p>
        </w:tc>
      </w:tr>
      <w:tr>
        <w:tblPrEx>
          <w:tblLayout w:type="fixed"/>
          <w:tblCellMar>
            <w:top w:w="0" w:type="dxa"/>
            <w:left w:w="95" w:type="dxa"/>
            <w:bottom w:w="0" w:type="dxa"/>
            <w:right w:w="95" w:type="dxa"/>
          </w:tblCellMar>
        </w:tblPrEx>
        <w:trPr>
          <w:cantSplit/>
          <w:trHeight w:val="435" w:hRule="atLeast"/>
          <w:jc w:val="center"/>
        </w:trPr>
        <w:tc>
          <w:tcPr>
            <w:tcW w:w="757" w:type="dxa"/>
            <w:vMerge w:val="continue"/>
            <w:tcBorders>
              <w:left w:val="single" w:color="000000" w:sz="6"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p>
        </w:tc>
        <w:tc>
          <w:tcPr>
            <w:tcW w:w="1276" w:type="dxa"/>
            <w:vMerge w:val="continue"/>
            <w:tcBorders>
              <w:left w:val="nil"/>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auto" w:sz="4" w:space="0"/>
              <w:right w:val="single" w:color="000000" w:sz="6" w:space="0"/>
            </w:tcBorders>
            <w:vAlign w:val="center"/>
          </w:tcPr>
          <w:p>
            <w:pPr>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22．加强招生特别是自主招生领域问题治理。</w:t>
            </w:r>
            <w:r>
              <w:rPr>
                <w:rFonts w:ascii="仿宋_GB2312" w:hAnsi="华文仿宋" w:eastAsia="仿宋_GB2312" w:cs="宋体"/>
                <w:color w:val="000000"/>
                <w:sz w:val="26"/>
                <w:szCs w:val="26"/>
              </w:rPr>
              <w:t xml:space="preserve"> </w:t>
            </w:r>
          </w:p>
        </w:tc>
        <w:tc>
          <w:tcPr>
            <w:tcW w:w="2948" w:type="dxa"/>
            <w:tcBorders>
              <w:top w:val="single" w:color="000000" w:sz="6" w:space="0"/>
              <w:left w:val="nil"/>
              <w:bottom w:val="single" w:color="auto" w:sz="4"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招生就业办 </w:t>
            </w:r>
          </w:p>
        </w:tc>
      </w:tr>
      <w:tr>
        <w:tblPrEx>
          <w:tblLayout w:type="fixed"/>
          <w:tblCellMar>
            <w:top w:w="0" w:type="dxa"/>
            <w:left w:w="95" w:type="dxa"/>
            <w:bottom w:w="0" w:type="dxa"/>
            <w:right w:w="95" w:type="dxa"/>
          </w:tblCellMar>
        </w:tblPrEx>
        <w:trPr>
          <w:cantSplit/>
          <w:jc w:val="center"/>
        </w:trPr>
        <w:tc>
          <w:tcPr>
            <w:tcW w:w="757" w:type="dxa"/>
            <w:vMerge w:val="continue"/>
            <w:tcBorders>
              <w:left w:val="single" w:color="000000" w:sz="6"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p>
        </w:tc>
        <w:tc>
          <w:tcPr>
            <w:tcW w:w="1276" w:type="dxa"/>
            <w:vMerge w:val="continue"/>
            <w:tcBorders>
              <w:left w:val="nil"/>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23．</w:t>
            </w:r>
            <w:r>
              <w:rPr>
                <w:rFonts w:hint="eastAsia" w:ascii="仿宋_GB2312" w:hAnsi="华文仿宋" w:eastAsia="仿宋_GB2312" w:cs="宋体"/>
                <w:color w:val="000000"/>
                <w:spacing w:val="-14"/>
                <w:sz w:val="26"/>
                <w:szCs w:val="26"/>
              </w:rPr>
              <w:t>推进党风廉政建设与</w:t>
            </w:r>
            <w:r>
              <w:rPr>
                <w:rFonts w:hint="eastAsia" w:ascii="仿宋_GB2312" w:hAnsi="华文仿宋" w:eastAsia="仿宋_GB2312" w:cs="宋体"/>
                <w:color w:val="000000"/>
                <w:spacing w:val="-14"/>
                <w:sz w:val="26"/>
                <w:szCs w:val="26"/>
                <w:lang w:eastAsia="zh-CN"/>
              </w:rPr>
              <w:t>学院</w:t>
            </w:r>
            <w:r>
              <w:rPr>
                <w:rFonts w:hint="eastAsia" w:ascii="仿宋_GB2312" w:hAnsi="华文仿宋" w:eastAsia="仿宋_GB2312" w:cs="宋体"/>
                <w:color w:val="000000"/>
                <w:spacing w:val="-14"/>
                <w:sz w:val="26"/>
                <w:szCs w:val="26"/>
              </w:rPr>
              <w:t>改革发展相融合，各项改革举措要体现惩治和预防腐败要求，与防范腐败同部署、同落实、同检查。</w:t>
            </w:r>
            <w:r>
              <w:rPr>
                <w:rFonts w:hint="eastAsia" w:ascii="仿宋_GB2312" w:hAnsi="华文仿宋" w:eastAsia="仿宋_GB2312" w:cs="宋体"/>
                <w:color w:val="000000"/>
                <w:sz w:val="26"/>
                <w:szCs w:val="26"/>
              </w:rPr>
              <w:t xml:space="preserve">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w:t>
            </w:r>
          </w:p>
        </w:tc>
      </w:tr>
      <w:tr>
        <w:tblPrEx>
          <w:tblLayout w:type="fixed"/>
          <w:tblCellMar>
            <w:top w:w="0" w:type="dxa"/>
            <w:left w:w="95" w:type="dxa"/>
            <w:bottom w:w="0" w:type="dxa"/>
            <w:right w:w="95" w:type="dxa"/>
          </w:tblCellMar>
        </w:tblPrEx>
        <w:trPr>
          <w:cantSplit/>
          <w:jc w:val="center"/>
        </w:trPr>
        <w:tc>
          <w:tcPr>
            <w:tcW w:w="757" w:type="dxa"/>
            <w:vMerge w:val="continue"/>
            <w:tcBorders>
              <w:left w:val="single" w:color="000000" w:sz="6"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p>
        </w:tc>
        <w:tc>
          <w:tcPr>
            <w:tcW w:w="1276" w:type="dxa"/>
            <w:vMerge w:val="continue"/>
            <w:tcBorders>
              <w:left w:val="nil"/>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24．强化权力制约，建立权力清单和问题清单制度。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w:t>
            </w:r>
          </w:p>
        </w:tc>
      </w:tr>
      <w:tr>
        <w:tblPrEx>
          <w:tblLayout w:type="fixed"/>
          <w:tblCellMar>
            <w:top w:w="0" w:type="dxa"/>
            <w:left w:w="95" w:type="dxa"/>
            <w:bottom w:w="0" w:type="dxa"/>
            <w:right w:w="95" w:type="dxa"/>
          </w:tblCellMar>
        </w:tblPrEx>
        <w:trPr>
          <w:cantSplit/>
          <w:trHeight w:val="499" w:hRule="atLeast"/>
          <w:jc w:val="center"/>
        </w:trPr>
        <w:tc>
          <w:tcPr>
            <w:tcW w:w="757" w:type="dxa"/>
            <w:vMerge w:val="continue"/>
            <w:tcBorders>
              <w:left w:val="single" w:color="000000" w:sz="6"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p>
        </w:tc>
        <w:tc>
          <w:tcPr>
            <w:tcW w:w="1276" w:type="dxa"/>
            <w:vMerge w:val="continue"/>
            <w:tcBorders>
              <w:left w:val="nil"/>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25．推进各二级学院、职能部门完善廉政风险防控机制建设。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校内各二级单位 </w:t>
            </w:r>
          </w:p>
        </w:tc>
      </w:tr>
      <w:tr>
        <w:tblPrEx>
          <w:tblLayout w:type="fixed"/>
          <w:tblCellMar>
            <w:top w:w="0" w:type="dxa"/>
            <w:left w:w="95" w:type="dxa"/>
            <w:bottom w:w="0" w:type="dxa"/>
            <w:right w:w="95" w:type="dxa"/>
          </w:tblCellMar>
        </w:tblPrEx>
        <w:trPr>
          <w:cantSplit/>
          <w:jc w:val="center"/>
        </w:trPr>
        <w:tc>
          <w:tcPr>
            <w:tcW w:w="757" w:type="dxa"/>
            <w:vMerge w:val="continue"/>
            <w:tcBorders>
              <w:left w:val="single" w:color="000000" w:sz="6" w:space="0"/>
              <w:bottom w:val="single" w:color="auto" w:sz="4"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p>
        </w:tc>
        <w:tc>
          <w:tcPr>
            <w:tcW w:w="1276" w:type="dxa"/>
            <w:vMerge w:val="continue"/>
            <w:tcBorders>
              <w:left w:val="nil"/>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26．按照市教委要求，列出学院公开事项清单，公开学院相关信息，接受校内外监督。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办公室</w:t>
            </w:r>
          </w:p>
        </w:tc>
      </w:tr>
      <w:tr>
        <w:tblPrEx>
          <w:tblLayout w:type="fixed"/>
          <w:tblCellMar>
            <w:top w:w="0" w:type="dxa"/>
            <w:left w:w="95" w:type="dxa"/>
            <w:bottom w:w="0" w:type="dxa"/>
            <w:right w:w="95" w:type="dxa"/>
          </w:tblCellMar>
        </w:tblPrEx>
        <w:trPr>
          <w:cantSplit/>
          <w:trHeight w:val="960" w:hRule="atLeast"/>
          <w:jc w:val="center"/>
        </w:trPr>
        <w:tc>
          <w:tcPr>
            <w:tcW w:w="757" w:type="dxa"/>
            <w:vMerge w:val="restart"/>
            <w:tcBorders>
              <w:top w:val="single" w:color="auto" w:sz="4" w:space="0"/>
              <w:left w:val="single" w:color="000000" w:sz="6"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7</w:t>
            </w:r>
          </w:p>
        </w:tc>
        <w:tc>
          <w:tcPr>
            <w:tcW w:w="1276" w:type="dxa"/>
            <w:vMerge w:val="restart"/>
            <w:tcBorders>
              <w:top w:val="single" w:color="000000" w:sz="6" w:space="0"/>
              <w:left w:val="nil"/>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强化党内监督</w:t>
            </w:r>
          </w:p>
        </w:tc>
        <w:tc>
          <w:tcPr>
            <w:tcW w:w="7938" w:type="dxa"/>
            <w:tcBorders>
              <w:top w:val="single" w:color="000000" w:sz="6" w:space="0"/>
              <w:left w:val="nil"/>
              <w:bottom w:val="single" w:color="auto" w:sz="4" w:space="0"/>
              <w:right w:val="single" w:color="000000" w:sz="6" w:space="0"/>
            </w:tcBorders>
            <w:vAlign w:val="center"/>
          </w:tcPr>
          <w:p>
            <w:pPr>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27．强化权力监督，落实集体领导和分工负责、重要情况通报和报告、述职述廉、民主生活会、信访处理、谈话和诫勉、询问、特定问题调查等监督制度。</w:t>
            </w:r>
          </w:p>
        </w:tc>
        <w:tc>
          <w:tcPr>
            <w:tcW w:w="2948" w:type="dxa"/>
            <w:tcBorders>
              <w:top w:val="single" w:color="000000" w:sz="6" w:space="0"/>
              <w:left w:val="nil"/>
              <w:bottom w:val="single" w:color="auto" w:sz="4" w:space="0"/>
              <w:right w:val="single" w:color="000000" w:sz="6" w:space="0"/>
            </w:tcBorders>
            <w:vAlign w:val="center"/>
          </w:tcPr>
          <w:p>
            <w:pPr>
              <w:widowControl/>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组织部、</w:t>
            </w:r>
            <w:r>
              <w:rPr>
                <w:rFonts w:hint="eastAsia" w:ascii="仿宋_GB2312" w:hAnsi="华文仿宋" w:eastAsia="仿宋_GB2312" w:cs="宋体"/>
                <w:color w:val="000000"/>
                <w:sz w:val="26"/>
                <w:szCs w:val="26"/>
              </w:rPr>
              <w:t>纪检监察审计室</w:t>
            </w:r>
          </w:p>
        </w:tc>
      </w:tr>
      <w:tr>
        <w:tblPrEx>
          <w:tblLayout w:type="fixed"/>
          <w:tblCellMar>
            <w:top w:w="0" w:type="dxa"/>
            <w:left w:w="95" w:type="dxa"/>
            <w:bottom w:w="0" w:type="dxa"/>
            <w:right w:w="95" w:type="dxa"/>
          </w:tblCellMar>
        </w:tblPrEx>
        <w:trPr>
          <w:cantSplit/>
          <w:trHeight w:val="842" w:hRule="atLeast"/>
          <w:jc w:val="center"/>
        </w:trPr>
        <w:tc>
          <w:tcPr>
            <w:tcW w:w="757" w:type="dxa"/>
            <w:vMerge w:val="continue"/>
            <w:tcBorders>
              <w:left w:val="single" w:color="000000" w:sz="6" w:space="0"/>
              <w:bottom w:val="single" w:color="000000" w:sz="6" w:space="0"/>
              <w:right w:val="single" w:color="000000" w:sz="6" w:space="0"/>
            </w:tcBorders>
            <w:vAlign w:val="center"/>
          </w:tcPr>
          <w:p>
            <w:pPr>
              <w:snapToGrid w:val="0"/>
              <w:spacing w:before="100" w:beforeAutospacing="1" w:after="100" w:afterAutospacing="1" w:line="299" w:lineRule="atLeast"/>
              <w:jc w:val="center"/>
              <w:rPr>
                <w:rFonts w:ascii="仿宋_GB2312" w:hAnsi="华文仿宋" w:eastAsia="仿宋_GB2312" w:cs="宋体"/>
                <w:b/>
                <w:bCs/>
                <w:color w:val="000000"/>
                <w:sz w:val="26"/>
                <w:szCs w:val="26"/>
              </w:rPr>
            </w:pPr>
          </w:p>
        </w:tc>
        <w:tc>
          <w:tcPr>
            <w:tcW w:w="1276" w:type="dxa"/>
            <w:vMerge w:val="continue"/>
            <w:tcBorders>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b/>
                <w:bCs/>
                <w:color w:val="000000"/>
                <w:sz w:val="26"/>
                <w:szCs w:val="26"/>
              </w:rPr>
            </w:pPr>
          </w:p>
        </w:tc>
        <w:tc>
          <w:tcPr>
            <w:tcW w:w="7938" w:type="dxa"/>
            <w:tcBorders>
              <w:top w:val="single" w:color="auto" w:sz="4" w:space="0"/>
              <w:left w:val="nil"/>
              <w:bottom w:val="single" w:color="000000" w:sz="6" w:space="0"/>
              <w:right w:val="single" w:color="000000" w:sz="6" w:space="0"/>
            </w:tcBorders>
            <w:vAlign w:val="center"/>
          </w:tcPr>
          <w:p>
            <w:pPr>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28．加强对领导班子和中层干部的监督。</w:t>
            </w:r>
          </w:p>
        </w:tc>
        <w:tc>
          <w:tcPr>
            <w:tcW w:w="2948" w:type="dxa"/>
            <w:tcBorders>
              <w:top w:val="single" w:color="auto" w:sz="4" w:space="0"/>
              <w:left w:val="nil"/>
              <w:bottom w:val="single" w:color="000000" w:sz="6" w:space="0"/>
              <w:right w:val="single" w:color="000000" w:sz="6" w:space="0"/>
            </w:tcBorders>
            <w:vAlign w:val="center"/>
          </w:tcPr>
          <w:p>
            <w:pPr>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组织部、</w:t>
            </w:r>
            <w:r>
              <w:rPr>
                <w:rFonts w:hint="eastAsia" w:ascii="仿宋_GB2312" w:hAnsi="华文仿宋" w:eastAsia="仿宋_GB2312" w:cs="宋体"/>
                <w:color w:val="000000"/>
                <w:sz w:val="26"/>
                <w:szCs w:val="26"/>
              </w:rPr>
              <w:t>纪检监察审计室</w:t>
            </w:r>
          </w:p>
        </w:tc>
      </w:tr>
      <w:tr>
        <w:tblPrEx>
          <w:tblLayout w:type="fixed"/>
          <w:tblCellMar>
            <w:top w:w="0" w:type="dxa"/>
            <w:left w:w="95" w:type="dxa"/>
            <w:bottom w:w="0" w:type="dxa"/>
            <w:right w:w="95" w:type="dxa"/>
          </w:tblCellMar>
        </w:tblPrEx>
        <w:trPr>
          <w:cantSplit/>
          <w:jc w:val="center"/>
        </w:trPr>
        <w:tc>
          <w:tcPr>
            <w:tcW w:w="757" w:type="dxa"/>
            <w:vMerge w:val="restart"/>
            <w:tcBorders>
              <w:top w:val="single" w:color="auto" w:sz="4"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8</w:t>
            </w:r>
          </w:p>
        </w:tc>
        <w:tc>
          <w:tcPr>
            <w:tcW w:w="1276" w:type="dxa"/>
            <w:vMerge w:val="restart"/>
            <w:tcBorders>
              <w:top w:val="single" w:color="auto" w:sz="4"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当好廉洁从政表率 </w:t>
            </w: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29．认真执行民主集中制，带头执行“三重一大” 决策制度，严格执行党委会、院长办公会等议事规则；严肃党内生活，落实领导干部双重组织生活会、民主评议党员等制度，切实提高党内生活的质量，管好班子。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党政班子成员</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30．坚持对干部严格要求、严格教育、严格管理、严格监督，完善干部管理制度，带好队伍。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党政班子成员</w:t>
            </w:r>
          </w:p>
        </w:tc>
      </w:tr>
      <w:tr>
        <w:tblPrEx>
          <w:tblLayout w:type="fixed"/>
          <w:tblCellMar>
            <w:top w:w="0" w:type="dxa"/>
            <w:left w:w="95" w:type="dxa"/>
            <w:bottom w:w="0" w:type="dxa"/>
            <w:right w:w="95" w:type="dxa"/>
          </w:tblCellMar>
        </w:tblPrEx>
        <w:trPr>
          <w:cantSplit/>
          <w:jc w:val="center"/>
        </w:trPr>
        <w:tc>
          <w:tcPr>
            <w:tcW w:w="757" w:type="dxa"/>
            <w:vMerge w:val="continue"/>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31．</w:t>
            </w:r>
            <w:r>
              <w:rPr>
                <w:rFonts w:hint="eastAsia" w:ascii="仿宋_GB2312" w:hAnsi="宋体" w:eastAsia="仿宋_GB2312" w:cs="宋体"/>
                <w:color w:val="000000"/>
                <w:sz w:val="26"/>
                <w:szCs w:val="26"/>
              </w:rPr>
              <w:t>党政班子成员</w:t>
            </w:r>
            <w:r>
              <w:rPr>
                <w:rFonts w:hint="eastAsia" w:ascii="仿宋_GB2312" w:hAnsi="华文仿宋" w:eastAsia="仿宋_GB2312" w:cs="宋体"/>
                <w:color w:val="000000"/>
                <w:sz w:val="26"/>
                <w:szCs w:val="26"/>
              </w:rPr>
              <w:t xml:space="preserve">严格执行个人事项报告和请示制度，严以修身、严以用权、严以律己，不图名，不图利，吃亏在前，享受在后，管好家人、身边人，率先垂范，以上带下。 </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党政班子成员</w:t>
            </w:r>
          </w:p>
        </w:tc>
      </w:tr>
      <w:tr>
        <w:tblPrEx>
          <w:tblLayout w:type="fixed"/>
          <w:tblCellMar>
            <w:top w:w="0" w:type="dxa"/>
            <w:left w:w="95" w:type="dxa"/>
            <w:bottom w:w="0" w:type="dxa"/>
            <w:right w:w="95" w:type="dxa"/>
          </w:tblCellMar>
        </w:tblPrEx>
        <w:trPr>
          <w:cantSplit/>
          <w:trHeight w:val="457" w:hRule="atLeast"/>
          <w:jc w:val="center"/>
        </w:trPr>
        <w:tc>
          <w:tcPr>
            <w:tcW w:w="757" w:type="dxa"/>
            <w:vMerge w:val="continue"/>
            <w:tcBorders>
              <w:top w:val="nil"/>
              <w:left w:val="single" w:color="000000" w:sz="6" w:space="0"/>
              <w:bottom w:val="single" w:color="auto" w:sz="4"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vMerge w:val="continue"/>
            <w:tcBorders>
              <w:top w:val="nil"/>
              <w:left w:val="nil"/>
              <w:bottom w:val="single" w:color="auto" w:sz="4"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32．推进巡视整改或未巡先改、自查自纠。</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党政班子成员</w:t>
            </w:r>
          </w:p>
        </w:tc>
      </w:tr>
      <w:tr>
        <w:tblPrEx>
          <w:tblLayout w:type="fixed"/>
          <w:tblCellMar>
            <w:top w:w="0" w:type="dxa"/>
            <w:left w:w="95" w:type="dxa"/>
            <w:bottom w:w="0" w:type="dxa"/>
            <w:right w:w="95" w:type="dxa"/>
          </w:tblCellMar>
        </w:tblPrEx>
        <w:trPr>
          <w:cantSplit/>
          <w:trHeight w:val="2101" w:hRule="atLeast"/>
          <w:jc w:val="center"/>
        </w:trPr>
        <w:tc>
          <w:tcPr>
            <w:tcW w:w="757" w:type="dxa"/>
            <w:tcBorders>
              <w:top w:val="single" w:color="auto" w:sz="4" w:space="0"/>
              <w:left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9</w:t>
            </w:r>
          </w:p>
        </w:tc>
        <w:tc>
          <w:tcPr>
            <w:tcW w:w="1276" w:type="dxa"/>
            <w:tcBorders>
              <w:top w:val="single" w:color="auto" w:sz="4" w:space="0"/>
              <w:left w:val="nil"/>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反腐倡廉宣传教育</w:t>
            </w:r>
          </w:p>
        </w:tc>
        <w:tc>
          <w:tcPr>
            <w:tcW w:w="7938" w:type="dxa"/>
            <w:tcBorders>
              <w:top w:val="single" w:color="000000" w:sz="6" w:space="0"/>
              <w:left w:val="nil"/>
              <w:bottom w:val="single" w:color="auto" w:sz="4"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33.加大对党章、宪法、“两条例一准则”等党纪国法学习宣传力度，深入开展理想信念、宗旨意识和从政道德教育，推进廉政文化建设，培育和践行社会主义核心价值观。把党风廉政建设作为党委中心组学习、民主生活会和基层党组织“三会一课”的重要内容，作为干部教育培训的必修内容。提高党员干部法治思维和依法办事能力。</w:t>
            </w:r>
          </w:p>
        </w:tc>
        <w:tc>
          <w:tcPr>
            <w:tcW w:w="2948" w:type="dxa"/>
            <w:tcBorders>
              <w:top w:val="single" w:color="000000" w:sz="6" w:space="0"/>
              <w:left w:val="nil"/>
              <w:bottom w:val="single" w:color="auto" w:sz="4" w:space="0"/>
              <w:right w:val="single" w:color="000000" w:sz="6" w:space="0"/>
            </w:tcBorders>
            <w:vAlign w:val="center"/>
          </w:tcPr>
          <w:p>
            <w:pPr>
              <w:widowControl/>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宣传部、组织部、团委</w:t>
            </w:r>
          </w:p>
        </w:tc>
      </w:tr>
      <w:tr>
        <w:tblPrEx>
          <w:tblLayout w:type="fixed"/>
          <w:tblCellMar>
            <w:top w:w="0" w:type="dxa"/>
            <w:left w:w="95" w:type="dxa"/>
            <w:bottom w:w="0" w:type="dxa"/>
            <w:right w:w="95" w:type="dxa"/>
          </w:tblCellMar>
        </w:tblPrEx>
        <w:trPr>
          <w:cantSplit/>
          <w:trHeight w:val="1250" w:hRule="atLeast"/>
          <w:jc w:val="center"/>
        </w:trPr>
        <w:tc>
          <w:tcPr>
            <w:tcW w:w="757" w:type="dxa"/>
            <w:tcBorders>
              <w:top w:val="nil"/>
              <w:left w:val="single" w:color="000000" w:sz="6" w:space="0"/>
              <w:bottom w:val="single" w:color="000000" w:sz="6" w:space="0"/>
              <w:right w:val="single" w:color="000000" w:sz="6" w:space="0"/>
            </w:tcBorders>
            <w:vAlign w:val="center"/>
          </w:tcPr>
          <w:p>
            <w:pPr>
              <w:widowControl/>
              <w:jc w:val="center"/>
              <w:rPr>
                <w:rFonts w:ascii="仿宋_GB2312" w:hAnsi="华文仿宋" w:eastAsia="仿宋_GB2312" w:cs="宋体"/>
                <w:b/>
                <w:bCs/>
                <w:color w:val="000000"/>
                <w:sz w:val="26"/>
                <w:szCs w:val="26"/>
              </w:rPr>
            </w:pPr>
          </w:p>
        </w:tc>
        <w:tc>
          <w:tcPr>
            <w:tcW w:w="1276" w:type="dxa"/>
            <w:tcBorders>
              <w:top w:val="nil"/>
              <w:left w:val="nil"/>
              <w:bottom w:val="single" w:color="000000" w:sz="6" w:space="0"/>
              <w:right w:val="single" w:color="000000" w:sz="6" w:space="0"/>
            </w:tcBorders>
            <w:vAlign w:val="center"/>
          </w:tcPr>
          <w:p>
            <w:pPr>
              <w:widowControl/>
              <w:jc w:val="left"/>
              <w:rPr>
                <w:rFonts w:ascii="仿宋_GB2312" w:hAnsi="华文仿宋" w:eastAsia="仿宋_GB2312" w:cs="宋体"/>
                <w:b/>
                <w:bCs/>
                <w:color w:val="000000"/>
                <w:sz w:val="26"/>
                <w:szCs w:val="26"/>
              </w:rPr>
            </w:pPr>
          </w:p>
        </w:tc>
        <w:tc>
          <w:tcPr>
            <w:tcW w:w="793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bCs/>
                <w:color w:val="000000"/>
                <w:sz w:val="26"/>
                <w:szCs w:val="26"/>
              </w:rPr>
            </w:pPr>
            <w:r>
              <w:rPr>
                <w:rFonts w:hint="eastAsia" w:ascii="仿宋_GB2312" w:hAnsi="华文仿宋" w:eastAsia="仿宋_GB2312" w:cs="宋体"/>
                <w:bCs/>
                <w:color w:val="000000"/>
                <w:sz w:val="26"/>
                <w:szCs w:val="26"/>
              </w:rPr>
              <w:t>34.通过每年开展廉洁从政专题学习，主要领导带头讲廉政党课，深化示范教育、警示教育和岗位廉政风险教育</w:t>
            </w:r>
            <w:r>
              <w:rPr>
                <w:rFonts w:hint="eastAsia" w:ascii="仿宋_GB2312" w:hAnsi="华文仿宋" w:eastAsia="仿宋_GB2312" w:cs="宋体"/>
                <w:bCs/>
                <w:color w:val="000000"/>
                <w:sz w:val="26"/>
                <w:szCs w:val="26"/>
                <w:lang w:eastAsia="zh-CN"/>
              </w:rPr>
              <w:t>，</w:t>
            </w:r>
            <w:r>
              <w:rPr>
                <w:rFonts w:hint="eastAsia" w:ascii="仿宋_GB2312" w:hAnsi="华文仿宋" w:eastAsia="仿宋_GB2312" w:cs="宋体"/>
                <w:bCs/>
                <w:color w:val="000000"/>
                <w:sz w:val="26"/>
                <w:szCs w:val="26"/>
              </w:rPr>
              <w:t>廉政谈话</w:t>
            </w:r>
            <w:r>
              <w:rPr>
                <w:rFonts w:hint="eastAsia" w:ascii="仿宋_GB2312" w:hAnsi="华文仿宋" w:eastAsia="仿宋_GB2312" w:cs="宋体"/>
                <w:bCs/>
                <w:color w:val="000000"/>
                <w:sz w:val="26"/>
                <w:szCs w:val="26"/>
                <w:lang w:eastAsia="zh-CN"/>
              </w:rPr>
              <w:t>，</w:t>
            </w:r>
            <w:r>
              <w:rPr>
                <w:rFonts w:hint="eastAsia" w:ascii="仿宋_GB2312" w:hAnsi="华文仿宋" w:eastAsia="仿宋_GB2312" w:cs="宋体"/>
                <w:bCs/>
                <w:color w:val="000000"/>
                <w:sz w:val="26"/>
                <w:szCs w:val="26"/>
              </w:rPr>
              <w:t>召开廉政警示教育大会等方式，广泛开展廉政文化建设，打造“清风校园”。</w:t>
            </w:r>
          </w:p>
        </w:tc>
        <w:tc>
          <w:tcPr>
            <w:tcW w:w="2948"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atLeast"/>
              <w:jc w:val="center"/>
              <w:rPr>
                <w:rFonts w:ascii="仿宋_GB2312" w:hAnsi="宋体" w:eastAsia="仿宋_GB2312" w:cs="宋体"/>
                <w:color w:val="000000"/>
                <w:sz w:val="26"/>
                <w:szCs w:val="26"/>
              </w:rPr>
            </w:pPr>
            <w:r>
              <w:rPr>
                <w:rFonts w:hint="eastAsia" w:ascii="仿宋_GB2312" w:hAnsi="宋体" w:eastAsia="仿宋_GB2312" w:cs="宋体"/>
                <w:color w:val="000000"/>
                <w:sz w:val="26"/>
                <w:szCs w:val="26"/>
              </w:rPr>
              <w:t>宣传部、</w:t>
            </w:r>
            <w:r>
              <w:rPr>
                <w:rFonts w:hint="eastAsia" w:ascii="仿宋_GB2312" w:hAnsi="华文仿宋" w:eastAsia="仿宋_GB2312" w:cs="宋体"/>
                <w:color w:val="000000"/>
                <w:sz w:val="26"/>
                <w:szCs w:val="26"/>
              </w:rPr>
              <w:t>纪检监察审计室</w:t>
            </w:r>
          </w:p>
        </w:tc>
      </w:tr>
    </w:tbl>
    <w:p>
      <w:pPr>
        <w:widowControl/>
        <w:snapToGrid w:val="0"/>
        <w:spacing w:before="100" w:beforeAutospacing="1" w:after="100" w:afterAutospacing="1" w:line="299" w:lineRule="atLeast"/>
        <w:jc w:val="center"/>
        <w:rPr>
          <w:rFonts w:ascii="宋体" w:hAnsi="宋体" w:eastAsia="宋体" w:cs="宋体"/>
          <w:b/>
          <w:bCs/>
          <w:color w:val="000000"/>
          <w:sz w:val="26"/>
          <w:szCs w:val="26"/>
        </w:rPr>
      </w:pPr>
      <w:r>
        <w:rPr>
          <w:rFonts w:hint="eastAsia" w:ascii="仿宋_GB2312" w:hAnsi="华文楷体" w:eastAsia="仿宋_GB2312" w:cs="宋体"/>
          <w:b/>
          <w:bCs/>
          <w:color w:val="000000"/>
          <w:sz w:val="26"/>
          <w:szCs w:val="26"/>
        </w:rPr>
        <w:br w:type="page"/>
      </w:r>
      <w:r>
        <w:rPr>
          <w:rFonts w:hint="eastAsia" w:ascii="宋体" w:hAnsi="宋体" w:eastAsia="宋体" w:cs="宋体"/>
          <w:b/>
          <w:bCs/>
          <w:color w:val="000000"/>
          <w:sz w:val="26"/>
          <w:szCs w:val="26"/>
        </w:rPr>
        <w:t>二、党委书记第一责任人责任</w:t>
      </w:r>
    </w:p>
    <w:tbl>
      <w:tblPr>
        <w:tblStyle w:val="8"/>
        <w:tblW w:w="14148" w:type="dxa"/>
        <w:jc w:val="center"/>
        <w:tblInd w:w="0" w:type="dxa"/>
        <w:tblLayout w:type="fixed"/>
        <w:tblCellMar>
          <w:top w:w="0" w:type="dxa"/>
          <w:left w:w="95" w:type="dxa"/>
          <w:bottom w:w="0" w:type="dxa"/>
          <w:right w:w="95" w:type="dxa"/>
        </w:tblCellMar>
      </w:tblPr>
      <w:tblGrid>
        <w:gridCol w:w="804"/>
        <w:gridCol w:w="1843"/>
        <w:gridCol w:w="11501"/>
      </w:tblGrid>
      <w:tr>
        <w:tblPrEx>
          <w:tblLayout w:type="fixed"/>
          <w:tblCellMar>
            <w:top w:w="0" w:type="dxa"/>
            <w:left w:w="95" w:type="dxa"/>
            <w:bottom w:w="0" w:type="dxa"/>
            <w:right w:w="95" w:type="dxa"/>
          </w:tblCellMar>
        </w:tblPrEx>
        <w:trPr>
          <w:trHeight w:val="95" w:hRule="atLeast"/>
          <w:jc w:val="center"/>
        </w:trPr>
        <w:tc>
          <w:tcPr>
            <w:tcW w:w="80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序号 </w:t>
            </w:r>
          </w:p>
        </w:tc>
        <w:tc>
          <w:tcPr>
            <w:tcW w:w="184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责任清单 </w:t>
            </w:r>
          </w:p>
        </w:tc>
        <w:tc>
          <w:tcPr>
            <w:tcW w:w="11501"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具体内容 </w:t>
            </w:r>
          </w:p>
        </w:tc>
      </w:tr>
      <w:tr>
        <w:tblPrEx>
          <w:tblLayout w:type="fixed"/>
          <w:tblCellMar>
            <w:top w:w="0" w:type="dxa"/>
            <w:left w:w="95" w:type="dxa"/>
            <w:bottom w:w="0" w:type="dxa"/>
            <w:right w:w="95" w:type="dxa"/>
          </w:tblCellMar>
        </w:tblPrEx>
        <w:trPr>
          <w:trHeight w:val="1525" w:hRule="atLeast"/>
          <w:jc w:val="center"/>
        </w:trPr>
        <w:tc>
          <w:tcPr>
            <w:tcW w:w="80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1 </w:t>
            </w:r>
          </w:p>
        </w:tc>
        <w:tc>
          <w:tcPr>
            <w:tcW w:w="184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履行领导责任</w:t>
            </w:r>
            <w:r>
              <w:rPr>
                <w:rFonts w:hint="eastAsia" w:ascii="仿宋_GB2312" w:hAnsi="宋体" w:eastAsia="仿宋_GB2312" w:cs="宋体"/>
                <w:b/>
                <w:bCs/>
                <w:color w:val="000000"/>
                <w:sz w:val="26"/>
                <w:szCs w:val="26"/>
              </w:rPr>
              <w:t xml:space="preserve"> </w:t>
            </w:r>
          </w:p>
        </w:tc>
        <w:tc>
          <w:tcPr>
            <w:tcW w:w="11501"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1．党委书记是</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 xml:space="preserve">党风廉政建设第一责任人，应带头履行主体责任，做到重要工作亲自部署、重大问题亲自过问、重点环节亲自协调、重要案件亲自督办；                                                      2．管好班子，带好队伍；                                                                        3．主动接受市教卫党委对本人执行党风廉政建设责任制情况的检查考核。 </w:t>
            </w:r>
          </w:p>
        </w:tc>
      </w:tr>
      <w:tr>
        <w:tblPrEx>
          <w:tblLayout w:type="fixed"/>
          <w:tblCellMar>
            <w:top w:w="0" w:type="dxa"/>
            <w:left w:w="95" w:type="dxa"/>
            <w:bottom w:w="0" w:type="dxa"/>
            <w:right w:w="95" w:type="dxa"/>
          </w:tblCellMar>
        </w:tblPrEx>
        <w:trPr>
          <w:trHeight w:val="1120" w:hRule="atLeast"/>
          <w:jc w:val="center"/>
        </w:trPr>
        <w:tc>
          <w:tcPr>
            <w:tcW w:w="80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2 </w:t>
            </w:r>
          </w:p>
        </w:tc>
        <w:tc>
          <w:tcPr>
            <w:tcW w:w="184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强化组织推动</w:t>
            </w:r>
            <w:r>
              <w:rPr>
                <w:rFonts w:hint="eastAsia" w:ascii="仿宋_GB2312" w:hAnsi="宋体" w:eastAsia="仿宋_GB2312" w:cs="宋体"/>
                <w:b/>
                <w:bCs/>
                <w:color w:val="000000"/>
                <w:sz w:val="26"/>
                <w:szCs w:val="26"/>
              </w:rPr>
              <w:t xml:space="preserve"> </w:t>
            </w:r>
          </w:p>
        </w:tc>
        <w:tc>
          <w:tcPr>
            <w:tcW w:w="11501"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4．及时传达中央、市委和市教卫党委关于党风廉政建设的部署和要求，部署</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党风廉政建设工作；                  5．主持召开</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 xml:space="preserve">党风廉政建设专题会议，听取工作汇报，研究解决重大问题，协调推动任务落实。 </w:t>
            </w:r>
          </w:p>
        </w:tc>
      </w:tr>
      <w:tr>
        <w:tblPrEx>
          <w:tblLayout w:type="fixed"/>
          <w:tblCellMar>
            <w:top w:w="0" w:type="dxa"/>
            <w:left w:w="95" w:type="dxa"/>
            <w:bottom w:w="0" w:type="dxa"/>
            <w:right w:w="95" w:type="dxa"/>
          </w:tblCellMar>
        </w:tblPrEx>
        <w:trPr>
          <w:trHeight w:val="824" w:hRule="atLeast"/>
          <w:jc w:val="center"/>
        </w:trPr>
        <w:tc>
          <w:tcPr>
            <w:tcW w:w="80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3 </w:t>
            </w:r>
          </w:p>
        </w:tc>
        <w:tc>
          <w:tcPr>
            <w:tcW w:w="184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支持纪委工作</w:t>
            </w:r>
            <w:r>
              <w:rPr>
                <w:rFonts w:hint="eastAsia" w:ascii="仿宋_GB2312" w:hAnsi="宋体" w:eastAsia="仿宋_GB2312" w:cs="宋体"/>
                <w:b/>
                <w:bCs/>
                <w:color w:val="000000"/>
                <w:sz w:val="26"/>
                <w:szCs w:val="26"/>
              </w:rPr>
              <w:t xml:space="preserve"> </w:t>
            </w:r>
          </w:p>
        </w:tc>
        <w:tc>
          <w:tcPr>
            <w:tcW w:w="11501"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6．领导支持案件查办工作，推动各部门协调配合，及时排除办案工作中的干扰和阻力；           7．采取有力措施，支持纪检监察干部队伍建设。 </w:t>
            </w:r>
          </w:p>
        </w:tc>
      </w:tr>
      <w:tr>
        <w:tblPrEx>
          <w:tblLayout w:type="fixed"/>
          <w:tblCellMar>
            <w:top w:w="0" w:type="dxa"/>
            <w:left w:w="95" w:type="dxa"/>
            <w:bottom w:w="0" w:type="dxa"/>
            <w:right w:w="95" w:type="dxa"/>
          </w:tblCellMar>
        </w:tblPrEx>
        <w:trPr>
          <w:trHeight w:val="1073" w:hRule="atLeast"/>
          <w:jc w:val="center"/>
        </w:trPr>
        <w:tc>
          <w:tcPr>
            <w:tcW w:w="80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4 </w:t>
            </w:r>
          </w:p>
        </w:tc>
        <w:tc>
          <w:tcPr>
            <w:tcW w:w="184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加强教育监管</w:t>
            </w:r>
            <w:r>
              <w:rPr>
                <w:rFonts w:hint="eastAsia" w:ascii="仿宋_GB2312" w:hAnsi="宋体" w:eastAsia="仿宋_GB2312" w:cs="宋体"/>
                <w:b/>
                <w:bCs/>
                <w:color w:val="000000"/>
                <w:sz w:val="26"/>
                <w:szCs w:val="26"/>
              </w:rPr>
              <w:t xml:space="preserve"> </w:t>
            </w:r>
          </w:p>
        </w:tc>
        <w:tc>
          <w:tcPr>
            <w:tcW w:w="11501"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8．监督领导班子成员履行好“一岗双责”，执行好党风廉政建设责任制和落实党内监督各项制度，发现问题，早打招呼，及时提醒，促其纠正；                                                   9．组织并主动参加</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 xml:space="preserve">党风廉政建设系列教育活动，亲自讲授廉政党课。 </w:t>
            </w:r>
          </w:p>
        </w:tc>
      </w:tr>
      <w:tr>
        <w:tblPrEx>
          <w:tblLayout w:type="fixed"/>
          <w:tblCellMar>
            <w:top w:w="0" w:type="dxa"/>
            <w:left w:w="95" w:type="dxa"/>
            <w:bottom w:w="0" w:type="dxa"/>
            <w:right w:w="95" w:type="dxa"/>
          </w:tblCellMar>
        </w:tblPrEx>
        <w:trPr>
          <w:trHeight w:val="880" w:hRule="atLeast"/>
          <w:jc w:val="center"/>
        </w:trPr>
        <w:tc>
          <w:tcPr>
            <w:tcW w:w="804"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5 </w:t>
            </w:r>
          </w:p>
        </w:tc>
        <w:tc>
          <w:tcPr>
            <w:tcW w:w="184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带头廉洁自律</w:t>
            </w:r>
            <w:r>
              <w:rPr>
                <w:rFonts w:hint="eastAsia" w:ascii="仿宋_GB2312" w:hAnsi="宋体" w:eastAsia="仿宋_GB2312" w:cs="宋体"/>
                <w:b/>
                <w:bCs/>
                <w:color w:val="000000"/>
                <w:sz w:val="26"/>
                <w:szCs w:val="26"/>
              </w:rPr>
              <w:t xml:space="preserve"> </w:t>
            </w:r>
          </w:p>
        </w:tc>
        <w:tc>
          <w:tcPr>
            <w:tcW w:w="11501"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华文仿宋" w:eastAsia="仿宋_GB2312" w:cs="宋体"/>
                <w:color w:val="000000"/>
                <w:sz w:val="26"/>
                <w:szCs w:val="26"/>
              </w:rPr>
            </w:pPr>
            <w:r>
              <w:rPr>
                <w:rFonts w:hint="eastAsia" w:ascii="仿宋_GB2312" w:hAnsi="华文仿宋" w:eastAsia="仿宋_GB2312" w:cs="宋体"/>
                <w:color w:val="000000"/>
                <w:sz w:val="26"/>
                <w:szCs w:val="26"/>
              </w:rPr>
              <w:t xml:space="preserve">10．带头遵守中央八项规定精神以及党员领导干部廉洁从政有关规定，管好亲属和身边工作人员；       11．每年按要求述职述廉，报告个人有关事项。 </w:t>
            </w:r>
          </w:p>
        </w:tc>
      </w:tr>
    </w:tbl>
    <w:p>
      <w:pPr>
        <w:widowControl/>
        <w:snapToGrid w:val="0"/>
        <w:spacing w:before="100" w:beforeAutospacing="1" w:after="100" w:afterAutospacing="1" w:line="299" w:lineRule="atLeast"/>
        <w:jc w:val="center"/>
        <w:rPr>
          <w:rFonts w:ascii="宋体" w:hAnsi="宋体" w:eastAsia="宋体" w:cs="宋体"/>
          <w:b/>
          <w:bCs/>
          <w:color w:val="000000"/>
          <w:sz w:val="26"/>
          <w:szCs w:val="26"/>
        </w:rPr>
      </w:pPr>
    </w:p>
    <w:p>
      <w:pPr>
        <w:widowControl/>
        <w:snapToGrid w:val="0"/>
        <w:spacing w:before="100" w:beforeAutospacing="1" w:after="100" w:afterAutospacing="1" w:line="299" w:lineRule="atLeast"/>
        <w:jc w:val="center"/>
        <w:rPr>
          <w:rFonts w:ascii="宋体" w:hAnsi="宋体" w:eastAsia="宋体" w:cs="宋体"/>
          <w:b/>
          <w:bCs/>
          <w:color w:val="000000"/>
          <w:sz w:val="26"/>
          <w:szCs w:val="26"/>
        </w:rPr>
      </w:pPr>
    </w:p>
    <w:p>
      <w:pPr>
        <w:widowControl/>
        <w:snapToGrid w:val="0"/>
        <w:spacing w:before="100" w:beforeAutospacing="1" w:after="100" w:afterAutospacing="1" w:line="299" w:lineRule="atLeast"/>
        <w:jc w:val="center"/>
        <w:rPr>
          <w:rFonts w:ascii="宋体" w:hAnsi="宋体" w:eastAsia="宋体" w:cs="宋体"/>
          <w:b/>
          <w:bCs/>
          <w:color w:val="000000"/>
          <w:sz w:val="26"/>
          <w:szCs w:val="26"/>
        </w:rPr>
      </w:pPr>
      <w:r>
        <w:rPr>
          <w:rFonts w:hint="eastAsia" w:ascii="宋体" w:hAnsi="宋体" w:eastAsia="宋体" w:cs="宋体"/>
          <w:b/>
          <w:bCs/>
          <w:color w:val="000000"/>
          <w:sz w:val="26"/>
          <w:szCs w:val="26"/>
        </w:rPr>
        <w:t xml:space="preserve">三、党委其他班子成员主体责任 </w:t>
      </w:r>
    </w:p>
    <w:tbl>
      <w:tblPr>
        <w:tblStyle w:val="8"/>
        <w:tblW w:w="12919" w:type="dxa"/>
        <w:jc w:val="center"/>
        <w:tblInd w:w="0" w:type="dxa"/>
        <w:tblLayout w:type="fixed"/>
        <w:tblCellMar>
          <w:top w:w="0" w:type="dxa"/>
          <w:left w:w="95" w:type="dxa"/>
          <w:bottom w:w="0" w:type="dxa"/>
          <w:right w:w="95" w:type="dxa"/>
        </w:tblCellMar>
      </w:tblPr>
      <w:tblGrid>
        <w:gridCol w:w="1041"/>
        <w:gridCol w:w="1984"/>
        <w:gridCol w:w="9894"/>
      </w:tblGrid>
      <w:tr>
        <w:tblPrEx>
          <w:tblLayout w:type="fixed"/>
          <w:tblCellMar>
            <w:top w:w="0" w:type="dxa"/>
            <w:left w:w="95" w:type="dxa"/>
            <w:bottom w:w="0" w:type="dxa"/>
            <w:right w:w="95" w:type="dxa"/>
          </w:tblCellMar>
        </w:tblPrEx>
        <w:trPr>
          <w:trHeight w:val="95" w:hRule="atLeast"/>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序号</w:t>
            </w:r>
          </w:p>
        </w:tc>
        <w:tc>
          <w:tcPr>
            <w:tcW w:w="198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主体责任 </w:t>
            </w:r>
          </w:p>
        </w:tc>
        <w:tc>
          <w:tcPr>
            <w:tcW w:w="9894"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具体内容 </w:t>
            </w:r>
          </w:p>
        </w:tc>
      </w:tr>
      <w:tr>
        <w:tblPrEx>
          <w:tblLayout w:type="fixed"/>
          <w:tblCellMar>
            <w:top w:w="0" w:type="dxa"/>
            <w:left w:w="95" w:type="dxa"/>
            <w:bottom w:w="0" w:type="dxa"/>
            <w:right w:w="95" w:type="dxa"/>
          </w:tblCellMar>
        </w:tblPrEx>
        <w:trPr>
          <w:trHeight w:val="1555" w:hRule="atLeast"/>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1 </w:t>
            </w:r>
          </w:p>
        </w:tc>
        <w:tc>
          <w:tcPr>
            <w:tcW w:w="198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主动研究部署 </w:t>
            </w:r>
          </w:p>
        </w:tc>
        <w:tc>
          <w:tcPr>
            <w:tcW w:w="9894" w:type="dxa"/>
            <w:tcBorders>
              <w:top w:val="single" w:color="000000" w:sz="6" w:space="0"/>
              <w:left w:val="nil"/>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val="0"/>
              <w:spacing w:beforeAutospacing="0" w:afterAutospacing="0" w:line="299" w:lineRule="atLeast"/>
              <w:ind w:left="0" w:leftChars="0" w:right="0" w:rightChars="0" w:firstLine="0" w:firstLineChars="0"/>
              <w:jc w:val="both"/>
              <w:textAlignment w:val="auto"/>
              <w:outlineLvl w:val="9"/>
              <w:rPr>
                <w:rFonts w:hint="eastAsia" w:ascii="仿宋_GB2312" w:hAnsi="华文仿宋" w:eastAsia="仿宋_GB2312" w:cs="宋体"/>
                <w:color w:val="000000"/>
                <w:sz w:val="26"/>
                <w:szCs w:val="26"/>
              </w:rPr>
            </w:pPr>
            <w:r>
              <w:rPr>
                <w:rFonts w:hint="eastAsia" w:ascii="仿宋_GB2312" w:hAnsi="华文仿宋" w:eastAsia="仿宋_GB2312" w:cs="宋体"/>
                <w:color w:val="000000"/>
                <w:sz w:val="26"/>
                <w:szCs w:val="26"/>
              </w:rPr>
              <w:t>1．协助院党委抓好党风廉政建设工作，分析职责范围内的党风廉政建设现状，并有针对性地指导制定与分管部门、联系单位业务特点相符合的党风廉政建设工作计划和推进措施；</w:t>
            </w:r>
          </w:p>
          <w:p>
            <w:pPr>
              <w:keepNext w:val="0"/>
              <w:keepLines w:val="0"/>
              <w:pageBreakBefore w:val="0"/>
              <w:widowControl/>
              <w:kinsoku/>
              <w:wordWrap/>
              <w:overflowPunct/>
              <w:topLinePunct w:val="0"/>
              <w:autoSpaceDE/>
              <w:autoSpaceDN/>
              <w:bidi w:val="0"/>
              <w:adjustRightInd/>
              <w:snapToGrid w:val="0"/>
              <w:spacing w:beforeAutospacing="0" w:afterAutospacing="0" w:line="299" w:lineRule="atLeast"/>
              <w:ind w:left="0" w:leftChars="0" w:right="0" w:rightChars="0" w:firstLine="0" w:firstLineChars="0"/>
              <w:jc w:val="both"/>
              <w:textAlignment w:val="auto"/>
              <w:outlineLvl w:val="9"/>
              <w:rPr>
                <w:rFonts w:ascii="仿宋_GB2312" w:hAnsi="宋体" w:eastAsia="仿宋_GB2312" w:cs="宋体"/>
                <w:color w:val="000000"/>
                <w:sz w:val="26"/>
                <w:szCs w:val="26"/>
              </w:rPr>
            </w:pPr>
            <w:r>
              <w:rPr>
                <w:rFonts w:hint="eastAsia" w:ascii="仿宋_GB2312" w:hAnsi="华文仿宋" w:eastAsia="仿宋_GB2312" w:cs="宋体"/>
                <w:color w:val="000000"/>
                <w:sz w:val="26"/>
                <w:szCs w:val="26"/>
              </w:rPr>
              <w:t xml:space="preserve">2．认真履行“一岗双责”，坚持做到业务工作与党风廉政建设同部署、同研究、同落实。 </w:t>
            </w:r>
          </w:p>
        </w:tc>
      </w:tr>
      <w:tr>
        <w:tblPrEx>
          <w:tblLayout w:type="fixed"/>
          <w:tblCellMar>
            <w:top w:w="0" w:type="dxa"/>
            <w:left w:w="95" w:type="dxa"/>
            <w:bottom w:w="0" w:type="dxa"/>
            <w:right w:w="95" w:type="dxa"/>
          </w:tblCellMar>
        </w:tblPrEx>
        <w:trPr>
          <w:trHeight w:val="553" w:hRule="atLeast"/>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2 </w:t>
            </w:r>
          </w:p>
        </w:tc>
        <w:tc>
          <w:tcPr>
            <w:tcW w:w="198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支持查办案件 </w:t>
            </w:r>
          </w:p>
        </w:tc>
        <w:tc>
          <w:tcPr>
            <w:tcW w:w="989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color w:val="000000"/>
                <w:sz w:val="26"/>
                <w:szCs w:val="26"/>
              </w:rPr>
            </w:pPr>
            <w:r>
              <w:rPr>
                <w:rFonts w:hint="eastAsia" w:ascii="仿宋_GB2312" w:hAnsi="华文仿宋" w:eastAsia="仿宋_GB2312" w:cs="宋体"/>
                <w:color w:val="000000"/>
                <w:sz w:val="26"/>
                <w:szCs w:val="26"/>
              </w:rPr>
              <w:t>3．对发生在分管范围内的违纪违规案件，及时揭露，支持纪委（监察处）及时查处。</w:t>
            </w:r>
          </w:p>
        </w:tc>
      </w:tr>
      <w:tr>
        <w:tblPrEx>
          <w:tblLayout w:type="fixed"/>
          <w:tblCellMar>
            <w:top w:w="0" w:type="dxa"/>
            <w:left w:w="95" w:type="dxa"/>
            <w:bottom w:w="0" w:type="dxa"/>
            <w:right w:w="95" w:type="dxa"/>
          </w:tblCellMar>
        </w:tblPrEx>
        <w:trPr>
          <w:trHeight w:val="830" w:hRule="atLeast"/>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3 </w:t>
            </w:r>
          </w:p>
        </w:tc>
        <w:tc>
          <w:tcPr>
            <w:tcW w:w="198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加强督促指导 </w:t>
            </w:r>
          </w:p>
        </w:tc>
        <w:tc>
          <w:tcPr>
            <w:tcW w:w="9894"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华文仿宋" w:eastAsia="仿宋_GB2312" w:cs="宋体"/>
                <w:color w:val="000000"/>
                <w:sz w:val="26"/>
                <w:szCs w:val="26"/>
              </w:rPr>
              <w:t>4．对分管范围内的党风廉政建设工作开展经常性的督促指导，对存在的突出问题督促整改，并及时制定防控措施和办法。</w:t>
            </w:r>
            <w:r>
              <w:rPr>
                <w:rFonts w:hint="eastAsia" w:ascii="仿宋_GB2312" w:hAnsi="宋体" w:eastAsia="仿宋_GB2312" w:cs="宋体"/>
                <w:color w:val="000000"/>
                <w:sz w:val="26"/>
                <w:szCs w:val="26"/>
              </w:rPr>
              <w:t xml:space="preserve"> </w:t>
            </w:r>
          </w:p>
        </w:tc>
      </w:tr>
      <w:tr>
        <w:tblPrEx>
          <w:tblLayout w:type="fixed"/>
          <w:tblCellMar>
            <w:top w:w="0" w:type="dxa"/>
            <w:left w:w="95" w:type="dxa"/>
            <w:bottom w:w="0" w:type="dxa"/>
            <w:right w:w="95" w:type="dxa"/>
          </w:tblCellMar>
        </w:tblPrEx>
        <w:trPr>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4 </w:t>
            </w:r>
          </w:p>
        </w:tc>
        <w:tc>
          <w:tcPr>
            <w:tcW w:w="198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参加检查考核 </w:t>
            </w:r>
          </w:p>
        </w:tc>
        <w:tc>
          <w:tcPr>
            <w:tcW w:w="9894"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color w:val="000000"/>
                <w:sz w:val="26"/>
                <w:szCs w:val="26"/>
              </w:rPr>
            </w:pPr>
            <w:r>
              <w:rPr>
                <w:rFonts w:hint="eastAsia" w:ascii="仿宋_GB2312" w:hAnsi="华文仿宋" w:eastAsia="仿宋_GB2312" w:cs="宋体"/>
                <w:color w:val="000000"/>
                <w:sz w:val="26"/>
                <w:szCs w:val="26"/>
              </w:rPr>
              <w:t>5．坚持平时检查和年终考核相结合，积极参与对分管部门、联系单位党风廉政建设工作的检查考核。</w:t>
            </w:r>
            <w:r>
              <w:rPr>
                <w:rFonts w:hint="eastAsia" w:ascii="仿宋_GB2312" w:hAnsi="宋体" w:eastAsia="仿宋_GB2312" w:cs="宋体"/>
                <w:color w:val="000000"/>
                <w:sz w:val="26"/>
                <w:szCs w:val="26"/>
              </w:rPr>
              <w:t xml:space="preserve"> </w:t>
            </w:r>
          </w:p>
        </w:tc>
      </w:tr>
      <w:tr>
        <w:tblPrEx>
          <w:tblLayout w:type="fixed"/>
          <w:tblCellMar>
            <w:top w:w="0" w:type="dxa"/>
            <w:left w:w="95" w:type="dxa"/>
            <w:bottom w:w="0" w:type="dxa"/>
            <w:right w:w="95" w:type="dxa"/>
          </w:tblCellMar>
        </w:tblPrEx>
        <w:trPr>
          <w:jc w:val="center"/>
        </w:trPr>
        <w:tc>
          <w:tcPr>
            <w:tcW w:w="1041"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5 </w:t>
            </w:r>
          </w:p>
        </w:tc>
        <w:tc>
          <w:tcPr>
            <w:tcW w:w="198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严格廉洁自律 </w:t>
            </w:r>
          </w:p>
        </w:tc>
        <w:tc>
          <w:tcPr>
            <w:tcW w:w="9894"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color w:val="000000"/>
                <w:sz w:val="26"/>
                <w:szCs w:val="26"/>
              </w:rPr>
              <w:t>6．</w:t>
            </w:r>
            <w:r>
              <w:rPr>
                <w:rFonts w:hint="eastAsia" w:ascii="仿宋_GB2312" w:hAnsi="华文仿宋" w:eastAsia="仿宋_GB2312" w:cs="宋体"/>
                <w:color w:val="000000"/>
                <w:spacing w:val="-6"/>
                <w:sz w:val="26"/>
                <w:szCs w:val="26"/>
              </w:rPr>
              <w:t xml:space="preserve">认真执行中央八项规定精神和市委三十条意见以及党员领导干部廉洁从政有关规定； </w:t>
            </w:r>
            <w:r>
              <w:rPr>
                <w:rFonts w:hint="eastAsia" w:ascii="仿宋_GB2312" w:hAnsi="华文仿宋" w:eastAsia="仿宋_GB2312" w:cs="宋体"/>
                <w:color w:val="000000"/>
                <w:sz w:val="26"/>
                <w:szCs w:val="26"/>
              </w:rPr>
              <w:t xml:space="preserve">                                                                              7．严格按制度管权管人管事，自觉接受监督，促进权力规范运行；                  8．教育管理好亲属、身边工作人员，对存在的问题及时提醒，并督促整改。</w:t>
            </w:r>
            <w:r>
              <w:rPr>
                <w:rFonts w:hint="eastAsia" w:ascii="仿宋_GB2312" w:hAnsi="宋体" w:eastAsia="仿宋_GB2312" w:cs="宋体"/>
                <w:b/>
                <w:bCs/>
                <w:color w:val="000000"/>
                <w:sz w:val="26"/>
                <w:szCs w:val="26"/>
              </w:rPr>
              <w:t xml:space="preserve"> </w:t>
            </w:r>
          </w:p>
        </w:tc>
      </w:tr>
    </w:tbl>
    <w:p>
      <w:pPr>
        <w:widowControl/>
        <w:snapToGrid w:val="0"/>
        <w:spacing w:before="100" w:beforeAutospacing="1" w:after="100" w:afterAutospacing="1" w:line="299" w:lineRule="atLeast"/>
        <w:jc w:val="center"/>
        <w:rPr>
          <w:rFonts w:ascii="宋体" w:hAnsi="宋体" w:eastAsia="宋体" w:cs="宋体"/>
          <w:b/>
          <w:bCs/>
          <w:color w:val="000000"/>
          <w:sz w:val="26"/>
          <w:szCs w:val="26"/>
        </w:rPr>
      </w:pPr>
      <w:r>
        <w:rPr>
          <w:rFonts w:hint="eastAsia" w:ascii="宋体" w:hAnsi="宋体" w:eastAsia="宋体" w:cs="宋体"/>
          <w:b/>
          <w:bCs/>
          <w:color w:val="000000"/>
          <w:sz w:val="26"/>
          <w:szCs w:val="26"/>
        </w:rPr>
        <w:br w:type="page"/>
      </w:r>
      <w:r>
        <w:rPr>
          <w:rFonts w:hint="eastAsia" w:ascii="宋体" w:hAnsi="宋体" w:eastAsia="宋体" w:cs="宋体"/>
          <w:b/>
          <w:bCs/>
          <w:color w:val="000000"/>
          <w:sz w:val="26"/>
          <w:szCs w:val="26"/>
        </w:rPr>
        <w:t xml:space="preserve">四、各二级院（系）、职能部门党政负责人主体责任 </w:t>
      </w:r>
    </w:p>
    <w:tbl>
      <w:tblPr>
        <w:tblStyle w:val="8"/>
        <w:tblW w:w="12919" w:type="dxa"/>
        <w:jc w:val="center"/>
        <w:tblInd w:w="0" w:type="dxa"/>
        <w:tblLayout w:type="fixed"/>
        <w:tblCellMar>
          <w:top w:w="0" w:type="dxa"/>
          <w:left w:w="95" w:type="dxa"/>
          <w:bottom w:w="0" w:type="dxa"/>
          <w:right w:w="95" w:type="dxa"/>
        </w:tblCellMar>
      </w:tblPr>
      <w:tblGrid>
        <w:gridCol w:w="462"/>
        <w:gridCol w:w="1834"/>
        <w:gridCol w:w="10623"/>
      </w:tblGrid>
      <w:tr>
        <w:tblPrEx>
          <w:tblLayout w:type="fixed"/>
          <w:tblCellMar>
            <w:top w:w="0" w:type="dxa"/>
            <w:left w:w="95" w:type="dxa"/>
            <w:bottom w:w="0" w:type="dxa"/>
            <w:right w:w="95" w:type="dxa"/>
          </w:tblCellMar>
        </w:tblPrEx>
        <w:trPr>
          <w:trHeight w:val="95" w:hRule="atLeast"/>
          <w:jc w:val="center"/>
        </w:trPr>
        <w:tc>
          <w:tcPr>
            <w:tcW w:w="462" w:type="dxa"/>
            <w:tcBorders>
              <w:top w:val="single" w:color="000000" w:sz="6" w:space="0"/>
              <w:left w:val="single" w:color="000000" w:sz="6" w:space="0"/>
              <w:bottom w:val="single" w:color="000000" w:sz="6" w:space="0"/>
              <w:right w:val="single" w:color="000000" w:sz="6" w:space="0"/>
            </w:tcBorders>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项 </w:t>
            </w:r>
          </w:p>
        </w:tc>
        <w:tc>
          <w:tcPr>
            <w:tcW w:w="1834"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主体责任 </w:t>
            </w:r>
          </w:p>
        </w:tc>
        <w:tc>
          <w:tcPr>
            <w:tcW w:w="10623" w:type="dxa"/>
            <w:tcBorders>
              <w:top w:val="single" w:color="000000" w:sz="6" w:space="0"/>
              <w:left w:val="nil"/>
              <w:bottom w:val="single" w:color="000000" w:sz="6" w:space="0"/>
              <w:right w:val="single" w:color="000000" w:sz="6" w:space="0"/>
            </w:tcBorders>
          </w:tcPr>
          <w:p>
            <w:pPr>
              <w:widowControl/>
              <w:snapToGrid w:val="0"/>
              <w:spacing w:before="100" w:beforeAutospacing="1" w:after="100" w:afterAutospacing="1" w:line="95" w:lineRule="atLeast"/>
              <w:jc w:val="center"/>
              <w:rPr>
                <w:rFonts w:ascii="华文中宋" w:hAnsi="华文中宋" w:eastAsia="华文中宋" w:cs="宋体"/>
                <w:b/>
                <w:bCs/>
                <w:color w:val="000000"/>
                <w:sz w:val="26"/>
                <w:szCs w:val="26"/>
              </w:rPr>
            </w:pPr>
            <w:r>
              <w:rPr>
                <w:rFonts w:hint="eastAsia" w:ascii="华文中宋" w:hAnsi="华文中宋" w:eastAsia="华文中宋" w:cs="宋体"/>
                <w:b/>
                <w:bCs/>
                <w:color w:val="000000"/>
                <w:sz w:val="26"/>
                <w:szCs w:val="26"/>
              </w:rPr>
              <w:t xml:space="preserve">具体内容 </w:t>
            </w:r>
          </w:p>
        </w:tc>
      </w:tr>
      <w:tr>
        <w:tblPrEx>
          <w:tblLayout w:type="fixed"/>
          <w:tblCellMar>
            <w:top w:w="0" w:type="dxa"/>
            <w:left w:w="95" w:type="dxa"/>
            <w:bottom w:w="0" w:type="dxa"/>
            <w:right w:w="95" w:type="dxa"/>
          </w:tblCellMar>
        </w:tblPrEx>
        <w:trPr>
          <w:trHeight w:val="1950" w:hRule="atLeast"/>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1 </w:t>
            </w:r>
          </w:p>
        </w:tc>
        <w:tc>
          <w:tcPr>
            <w:tcW w:w="183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明确工作任务</w:t>
            </w:r>
            <w:r>
              <w:rPr>
                <w:rFonts w:hint="eastAsia" w:ascii="仿宋_GB2312" w:hAnsi="宋体" w:eastAsia="仿宋_GB2312" w:cs="宋体"/>
                <w:b/>
                <w:bCs/>
                <w:color w:val="000000"/>
                <w:sz w:val="26"/>
                <w:szCs w:val="26"/>
              </w:rPr>
              <w:t xml:space="preserve"> </w:t>
            </w:r>
          </w:p>
        </w:tc>
        <w:tc>
          <w:tcPr>
            <w:tcW w:w="1062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exac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w:t>
            </w:r>
            <w:r>
              <w:rPr>
                <w:rFonts w:hint="eastAsia" w:ascii="仿宋_GB2312" w:hAnsi="华文仿宋" w:eastAsia="仿宋_GB2312" w:cs="宋体"/>
                <w:color w:val="000000"/>
                <w:sz w:val="26"/>
                <w:szCs w:val="26"/>
              </w:rPr>
              <w:t>．贯彻落实</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rPr>
              <w:t xml:space="preserve">关于党风廉政建设工作部署，明确院（系）、职能部门成员在党风廉政建设中的职责和任务分工；                                                           </w:t>
            </w:r>
            <w:r>
              <w:rPr>
                <w:rFonts w:hint="eastAsia" w:ascii="仿宋_GB2312" w:hAnsi="宋体" w:eastAsia="仿宋_GB2312" w:cs="宋体"/>
                <w:color w:val="000000"/>
                <w:sz w:val="26"/>
                <w:szCs w:val="26"/>
              </w:rPr>
              <w:t>2</w:t>
            </w:r>
            <w:r>
              <w:rPr>
                <w:rFonts w:hint="eastAsia" w:ascii="仿宋_GB2312" w:hAnsi="华文仿宋" w:eastAsia="仿宋_GB2312" w:cs="宋体"/>
                <w:color w:val="000000"/>
                <w:sz w:val="26"/>
                <w:szCs w:val="26"/>
              </w:rPr>
              <w:t>．分析本单位、部门每年的党风廉政建设情况，研究制订党风廉政建设工作计划、目标、举措，并组织实施；                                                                 3．对本单位下属单位的党风廉政建设工作进行指导、督促；</w:t>
            </w:r>
            <w:r>
              <w:rPr>
                <w:rFonts w:hint="eastAsia" w:ascii="仿宋_GB2312" w:hAnsi="宋体" w:eastAsia="仿宋_GB2312" w:cs="宋体"/>
                <w:color w:val="000000"/>
                <w:sz w:val="26"/>
                <w:szCs w:val="26"/>
              </w:rPr>
              <w:t xml:space="preserve">                           4</w:t>
            </w:r>
            <w:r>
              <w:rPr>
                <w:rFonts w:hint="eastAsia" w:ascii="仿宋_GB2312" w:hAnsi="华文仿宋" w:eastAsia="仿宋_GB2312" w:cs="宋体"/>
                <w:color w:val="000000"/>
                <w:sz w:val="26"/>
                <w:szCs w:val="26"/>
              </w:rPr>
              <w:t>．组织本单位、部门关键岗位人员签订个性化党风廉政建设责任书。</w:t>
            </w:r>
          </w:p>
        </w:tc>
      </w:tr>
      <w:tr>
        <w:tblPrEx>
          <w:tblLayout w:type="fixed"/>
          <w:tblCellMar>
            <w:top w:w="0" w:type="dxa"/>
            <w:left w:w="95" w:type="dxa"/>
            <w:bottom w:w="0" w:type="dxa"/>
            <w:right w:w="95" w:type="dxa"/>
          </w:tblCellMar>
        </w:tblPrEx>
        <w:trPr>
          <w:trHeight w:val="1395" w:hRule="atLeast"/>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2 </w:t>
            </w:r>
          </w:p>
        </w:tc>
        <w:tc>
          <w:tcPr>
            <w:tcW w:w="183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华文仿宋" w:eastAsia="仿宋_GB2312" w:cs="宋体"/>
                <w:b/>
                <w:bCs/>
                <w:color w:val="000000"/>
                <w:sz w:val="26"/>
                <w:szCs w:val="26"/>
              </w:rPr>
            </w:pPr>
            <w:r>
              <w:rPr>
                <w:rFonts w:hint="eastAsia" w:ascii="仿宋_GB2312" w:hAnsi="华文仿宋" w:eastAsia="仿宋_GB2312" w:cs="宋体"/>
                <w:b/>
                <w:bCs/>
                <w:color w:val="000000"/>
                <w:sz w:val="26"/>
                <w:szCs w:val="26"/>
              </w:rPr>
              <w:t xml:space="preserve">强化宣传教育 </w:t>
            </w:r>
          </w:p>
        </w:tc>
        <w:tc>
          <w:tcPr>
            <w:tcW w:w="1062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exact"/>
              <w:jc w:val="left"/>
              <w:rPr>
                <w:rFonts w:ascii="仿宋_GB2312" w:hAnsi="宋体" w:eastAsia="仿宋_GB2312" w:cs="宋体"/>
                <w:color w:val="000000"/>
                <w:sz w:val="26"/>
                <w:szCs w:val="26"/>
              </w:rPr>
            </w:pPr>
            <w:r>
              <w:rPr>
                <w:rFonts w:hint="eastAsia" w:ascii="仿宋_GB2312" w:hAnsi="华文仿宋" w:eastAsia="仿宋_GB2312" w:cs="宋体"/>
                <w:color w:val="000000"/>
                <w:sz w:val="26"/>
                <w:szCs w:val="26"/>
              </w:rPr>
              <w:t>5．组织本单位、部门学习关于党风廉政建设工作的重要规定、制度和文件；              6．抓好本单位、部门党性党风党纪教育和廉洁自律教育；                              7．加强本单位、部门廉政文化建设。</w:t>
            </w:r>
            <w:r>
              <w:rPr>
                <w:rFonts w:hint="eastAsia" w:ascii="仿宋_GB2312" w:hAnsi="宋体" w:eastAsia="仿宋_GB2312" w:cs="宋体"/>
                <w:color w:val="000000"/>
                <w:sz w:val="26"/>
                <w:szCs w:val="26"/>
              </w:rPr>
              <w:t xml:space="preserve"> </w:t>
            </w:r>
          </w:p>
        </w:tc>
      </w:tr>
      <w:tr>
        <w:tblPrEx>
          <w:tblLayout w:type="fixed"/>
          <w:tblCellMar>
            <w:top w:w="0" w:type="dxa"/>
            <w:left w:w="95" w:type="dxa"/>
            <w:bottom w:w="0" w:type="dxa"/>
            <w:right w:w="95" w:type="dxa"/>
          </w:tblCellMar>
        </w:tblPrEx>
        <w:trPr>
          <w:trHeight w:val="1126" w:hRule="atLeast"/>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3 </w:t>
            </w:r>
          </w:p>
        </w:tc>
        <w:tc>
          <w:tcPr>
            <w:tcW w:w="183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加强作风建设</w:t>
            </w:r>
            <w:r>
              <w:rPr>
                <w:rFonts w:hint="eastAsia" w:ascii="仿宋_GB2312" w:hAnsi="宋体" w:eastAsia="仿宋_GB2312" w:cs="宋体"/>
                <w:b/>
                <w:bCs/>
                <w:color w:val="000000"/>
                <w:sz w:val="26"/>
                <w:szCs w:val="26"/>
              </w:rPr>
              <w:t xml:space="preserve"> </w:t>
            </w:r>
          </w:p>
        </w:tc>
        <w:tc>
          <w:tcPr>
            <w:tcW w:w="10623" w:type="dxa"/>
            <w:tcBorders>
              <w:top w:val="single" w:color="000000" w:sz="6" w:space="0"/>
              <w:left w:val="nil"/>
              <w:bottom w:val="single" w:color="000000" w:sz="6" w:space="0"/>
              <w:right w:val="single" w:color="000000" w:sz="6" w:space="0"/>
            </w:tcBorders>
          </w:tcPr>
          <w:p>
            <w:pPr>
              <w:keepNext w:val="0"/>
              <w:keepLines w:val="0"/>
              <w:pageBreakBefore w:val="0"/>
              <w:widowControl/>
              <w:kinsoku/>
              <w:wordWrap/>
              <w:overflowPunct/>
              <w:topLinePunct w:val="0"/>
              <w:autoSpaceDE/>
              <w:autoSpaceDN/>
              <w:bidi w:val="0"/>
              <w:adjustRightInd/>
              <w:snapToGrid w:val="0"/>
              <w:spacing w:before="157" w:beforeLines="50" w:beforeAutospacing="0" w:after="100" w:afterAutospacing="1" w:line="285" w:lineRule="exact"/>
              <w:ind w:left="0" w:leftChars="0" w:right="0" w:rightChars="0" w:firstLine="0" w:firstLineChars="0"/>
              <w:jc w:val="left"/>
              <w:textAlignment w:val="auto"/>
              <w:outlineLvl w:val="9"/>
              <w:rPr>
                <w:rFonts w:ascii="仿宋_GB2312" w:hAnsi="宋体" w:eastAsia="仿宋_GB2312" w:cs="宋体"/>
                <w:color w:val="000000"/>
                <w:sz w:val="26"/>
                <w:szCs w:val="26"/>
              </w:rPr>
            </w:pPr>
            <w:r>
              <w:rPr>
                <w:rFonts w:hint="eastAsia" w:ascii="仿宋_GB2312" w:hAnsi="华文仿宋" w:eastAsia="仿宋_GB2312" w:cs="宋体"/>
                <w:color w:val="000000"/>
                <w:sz w:val="26"/>
                <w:szCs w:val="26"/>
              </w:rPr>
              <w:t>8．</w:t>
            </w:r>
            <w:r>
              <w:rPr>
                <w:rFonts w:hint="eastAsia" w:ascii="仿宋_GB2312" w:hAnsi="华文仿宋" w:eastAsia="仿宋_GB2312" w:cs="宋体"/>
                <w:color w:val="000000"/>
                <w:sz w:val="26"/>
                <w:szCs w:val="26"/>
                <w:shd w:val="clear" w:color="auto" w:fill="FFFFFF"/>
              </w:rPr>
              <w:t>抓好中央八项规定精神和学校配套制度在</w:t>
            </w:r>
            <w:r>
              <w:rPr>
                <w:rFonts w:hint="eastAsia" w:ascii="仿宋_GB2312" w:hAnsi="华文仿宋" w:eastAsia="仿宋_GB2312" w:cs="宋体"/>
                <w:color w:val="000000"/>
                <w:sz w:val="26"/>
                <w:szCs w:val="26"/>
              </w:rPr>
              <w:t>本单位、部门</w:t>
            </w:r>
            <w:r>
              <w:rPr>
                <w:rFonts w:hint="eastAsia" w:ascii="仿宋_GB2312" w:hAnsi="华文仿宋" w:eastAsia="仿宋_GB2312" w:cs="宋体"/>
                <w:color w:val="000000"/>
                <w:sz w:val="26"/>
                <w:szCs w:val="26"/>
                <w:shd w:val="clear" w:color="auto" w:fill="FFFFFF"/>
              </w:rPr>
              <w:t xml:space="preserve">的贯彻落实，严控本单位“三公经费”支出；                                                                            </w:t>
            </w:r>
            <w:r>
              <w:rPr>
                <w:rFonts w:hint="eastAsia" w:ascii="仿宋_GB2312" w:hAnsi="华文仿宋" w:eastAsia="仿宋_GB2312" w:cs="宋体"/>
                <w:color w:val="000000"/>
                <w:sz w:val="26"/>
                <w:szCs w:val="26"/>
              </w:rPr>
              <w:t>9．切实履行监督职责，对本单位教职员工出现的苗头性、倾向性问题，及时提醒。</w:t>
            </w:r>
            <w:r>
              <w:rPr>
                <w:rFonts w:hint="eastAsia" w:ascii="仿宋_GB2312" w:hAnsi="宋体" w:eastAsia="仿宋_GB2312" w:cs="宋体"/>
                <w:color w:val="000000"/>
                <w:sz w:val="26"/>
                <w:szCs w:val="26"/>
              </w:rPr>
              <w:t xml:space="preserve"> </w:t>
            </w:r>
          </w:p>
        </w:tc>
      </w:tr>
      <w:tr>
        <w:tblPrEx>
          <w:tblLayout w:type="fixed"/>
          <w:tblCellMar>
            <w:top w:w="0" w:type="dxa"/>
            <w:left w:w="95" w:type="dxa"/>
            <w:bottom w:w="0" w:type="dxa"/>
            <w:right w:w="95" w:type="dxa"/>
          </w:tblCellMar>
        </w:tblPrEx>
        <w:trPr>
          <w:trHeight w:val="978" w:hRule="atLeast"/>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4 </w:t>
            </w:r>
          </w:p>
        </w:tc>
        <w:tc>
          <w:tcPr>
            <w:tcW w:w="183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协助纪委查信办案</w:t>
            </w:r>
            <w:r>
              <w:rPr>
                <w:rFonts w:hint="eastAsia" w:ascii="仿宋_GB2312" w:hAnsi="宋体" w:eastAsia="仿宋_GB2312" w:cs="宋体"/>
                <w:b/>
                <w:bCs/>
                <w:color w:val="000000"/>
                <w:sz w:val="26"/>
                <w:szCs w:val="26"/>
              </w:rPr>
              <w:t xml:space="preserve"> </w:t>
            </w:r>
          </w:p>
        </w:tc>
        <w:tc>
          <w:tcPr>
            <w:tcW w:w="1062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exact"/>
              <w:rPr>
                <w:rFonts w:ascii="仿宋_GB2312" w:hAnsi="宋体" w:eastAsia="仿宋_GB2312" w:cs="宋体"/>
                <w:color w:val="000000"/>
                <w:sz w:val="26"/>
                <w:szCs w:val="26"/>
              </w:rPr>
            </w:pPr>
            <w:r>
              <w:rPr>
                <w:rFonts w:hint="eastAsia" w:ascii="仿宋_GB2312" w:hAnsi="宋体" w:eastAsia="仿宋_GB2312" w:cs="宋体"/>
                <w:color w:val="000000"/>
                <w:sz w:val="26"/>
                <w:szCs w:val="26"/>
              </w:rPr>
              <w:t>10</w:t>
            </w:r>
            <w:r>
              <w:rPr>
                <w:rFonts w:hint="eastAsia" w:ascii="仿宋_GB2312" w:hAnsi="华文仿宋" w:eastAsia="仿宋_GB2312" w:cs="宋体"/>
                <w:color w:val="000000"/>
                <w:sz w:val="26"/>
                <w:szCs w:val="26"/>
              </w:rPr>
              <w:t xml:space="preserve">．配合纪委（监察审计室）查办本单位信访举报案件，并及时报告进展情况及核实情况；              </w:t>
            </w:r>
            <w:r>
              <w:rPr>
                <w:rFonts w:hint="eastAsia" w:ascii="仿宋_GB2312" w:hAnsi="宋体" w:eastAsia="仿宋_GB2312" w:cs="宋体"/>
                <w:color w:val="000000"/>
                <w:sz w:val="26"/>
                <w:szCs w:val="26"/>
              </w:rPr>
              <w:t>11</w:t>
            </w:r>
            <w:r>
              <w:rPr>
                <w:rFonts w:hint="eastAsia" w:ascii="仿宋_GB2312" w:hAnsi="华文仿宋" w:eastAsia="仿宋_GB2312" w:cs="宋体"/>
                <w:color w:val="000000"/>
                <w:sz w:val="26"/>
                <w:szCs w:val="26"/>
              </w:rPr>
              <w:t>．负责或受分管</w:t>
            </w:r>
            <w:r>
              <w:rPr>
                <w:rFonts w:hint="eastAsia" w:ascii="仿宋_GB2312" w:hAnsi="华文仿宋" w:eastAsia="仿宋_GB2312" w:cs="宋体"/>
                <w:color w:val="000000"/>
                <w:sz w:val="26"/>
                <w:szCs w:val="26"/>
                <w:lang w:eastAsia="zh-CN"/>
              </w:rPr>
              <w:t>院</w:t>
            </w:r>
            <w:r>
              <w:rPr>
                <w:rFonts w:hint="eastAsia" w:ascii="仿宋_GB2312" w:hAnsi="华文仿宋" w:eastAsia="仿宋_GB2312" w:cs="宋体"/>
                <w:color w:val="000000"/>
                <w:sz w:val="26"/>
                <w:szCs w:val="26"/>
              </w:rPr>
              <w:t>领导、纪委（监察审计室）的委托，同本单位相关个人进行廉政谈话。</w:t>
            </w:r>
            <w:r>
              <w:rPr>
                <w:rFonts w:hint="eastAsia" w:ascii="仿宋_GB2312" w:hAnsi="宋体" w:eastAsia="仿宋_GB2312" w:cs="宋体"/>
                <w:color w:val="000000"/>
                <w:sz w:val="26"/>
                <w:szCs w:val="26"/>
              </w:rPr>
              <w:t xml:space="preserve"> </w:t>
            </w:r>
          </w:p>
        </w:tc>
      </w:tr>
      <w:tr>
        <w:tblPrEx>
          <w:tblLayout w:type="fixed"/>
          <w:tblCellMar>
            <w:top w:w="0" w:type="dxa"/>
            <w:left w:w="95" w:type="dxa"/>
            <w:bottom w:w="0" w:type="dxa"/>
            <w:right w:w="95" w:type="dxa"/>
          </w:tblCellMar>
        </w:tblPrEx>
        <w:trPr>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5 </w:t>
            </w:r>
          </w:p>
        </w:tc>
        <w:tc>
          <w:tcPr>
            <w:tcW w:w="183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推进廉政风险防控</w:t>
            </w:r>
            <w:r>
              <w:rPr>
                <w:rFonts w:hint="eastAsia" w:ascii="仿宋_GB2312" w:hAnsi="宋体" w:eastAsia="仿宋_GB2312" w:cs="宋体"/>
                <w:b/>
                <w:bCs/>
                <w:color w:val="000000"/>
                <w:sz w:val="26"/>
                <w:szCs w:val="26"/>
              </w:rPr>
              <w:t xml:space="preserve"> </w:t>
            </w:r>
          </w:p>
        </w:tc>
        <w:tc>
          <w:tcPr>
            <w:tcW w:w="1062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exact"/>
              <w:rPr>
                <w:rFonts w:ascii="仿宋_GB2312" w:hAnsi="宋体" w:eastAsia="仿宋_GB2312" w:cs="宋体"/>
                <w:color w:val="000000"/>
                <w:sz w:val="26"/>
                <w:szCs w:val="26"/>
              </w:rPr>
            </w:pPr>
            <w:r>
              <w:rPr>
                <w:rFonts w:hint="eastAsia" w:ascii="仿宋_GB2312" w:hAnsi="宋体" w:eastAsia="仿宋_GB2312" w:cs="宋体"/>
                <w:color w:val="000000"/>
                <w:sz w:val="26"/>
                <w:szCs w:val="26"/>
              </w:rPr>
              <w:t>12</w:t>
            </w:r>
            <w:r>
              <w:rPr>
                <w:rFonts w:hint="eastAsia" w:ascii="仿宋_GB2312" w:hAnsi="华文仿宋" w:eastAsia="仿宋_GB2312" w:cs="宋体"/>
                <w:color w:val="000000"/>
                <w:sz w:val="26"/>
                <w:szCs w:val="26"/>
              </w:rPr>
              <w:t>．切实履行</w:t>
            </w:r>
            <w:r>
              <w:rPr>
                <w:rFonts w:hint="eastAsia" w:ascii="仿宋_GB2312" w:hAnsi="宋体" w:eastAsia="仿宋_GB2312" w:cs="宋体"/>
                <w:color w:val="000000"/>
                <w:sz w:val="26"/>
                <w:szCs w:val="26"/>
              </w:rPr>
              <w:t>“</w:t>
            </w:r>
            <w:r>
              <w:rPr>
                <w:rFonts w:hint="eastAsia" w:ascii="仿宋_GB2312" w:hAnsi="华文仿宋" w:eastAsia="仿宋_GB2312" w:cs="宋体"/>
                <w:color w:val="000000"/>
                <w:sz w:val="26"/>
                <w:szCs w:val="26"/>
              </w:rPr>
              <w:t>一岗双责</w:t>
            </w:r>
            <w:r>
              <w:rPr>
                <w:rFonts w:hint="eastAsia" w:ascii="仿宋_GB2312" w:hAnsi="宋体" w:eastAsia="仿宋_GB2312" w:cs="宋体"/>
                <w:color w:val="000000"/>
                <w:sz w:val="26"/>
                <w:szCs w:val="26"/>
              </w:rPr>
              <w:t>”</w:t>
            </w:r>
            <w:r>
              <w:rPr>
                <w:rFonts w:hint="eastAsia" w:ascii="仿宋_GB2312" w:hAnsi="华文仿宋" w:eastAsia="仿宋_GB2312" w:cs="宋体"/>
                <w:color w:val="000000"/>
                <w:sz w:val="26"/>
                <w:szCs w:val="26"/>
              </w:rPr>
              <w:t>，把党风廉政建设的要求贯穿于业务工作全过程；</w:t>
            </w:r>
            <w:r>
              <w:rPr>
                <w:rFonts w:hint="eastAsia" w:ascii="仿宋_GB2312" w:hAnsi="宋体" w:eastAsia="仿宋_GB2312" w:cs="宋体"/>
                <w:color w:val="000000"/>
                <w:sz w:val="26"/>
                <w:szCs w:val="26"/>
              </w:rPr>
              <w:t xml:space="preserve">                 13</w:t>
            </w:r>
            <w:r>
              <w:rPr>
                <w:rFonts w:hint="eastAsia" w:ascii="仿宋_GB2312" w:hAnsi="华文仿宋" w:eastAsia="仿宋_GB2312" w:cs="宋体"/>
                <w:color w:val="000000"/>
                <w:sz w:val="26"/>
                <w:szCs w:val="26"/>
              </w:rPr>
              <w:t>．组织开展对本单位、部门廉政风险点进行排查，科学设置工作流程，加大对重点领域和关键环节的监督力度，完善管理制度，堵塞管理漏洞。</w:t>
            </w:r>
            <w:r>
              <w:rPr>
                <w:rFonts w:hint="eastAsia" w:ascii="仿宋_GB2312" w:hAnsi="宋体" w:eastAsia="仿宋_GB2312" w:cs="宋体"/>
                <w:color w:val="000000"/>
                <w:sz w:val="26"/>
                <w:szCs w:val="26"/>
              </w:rPr>
              <w:t xml:space="preserve"> </w:t>
            </w:r>
          </w:p>
        </w:tc>
      </w:tr>
      <w:tr>
        <w:tblPrEx>
          <w:tblLayout w:type="fixed"/>
          <w:tblCellMar>
            <w:top w:w="0" w:type="dxa"/>
            <w:left w:w="95" w:type="dxa"/>
            <w:bottom w:w="0" w:type="dxa"/>
            <w:right w:w="95" w:type="dxa"/>
          </w:tblCellMar>
        </w:tblPrEx>
        <w:trPr>
          <w:trHeight w:val="1817" w:hRule="atLeast"/>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6 </w:t>
            </w:r>
          </w:p>
        </w:tc>
        <w:tc>
          <w:tcPr>
            <w:tcW w:w="183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left"/>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及时报告工作情况</w:t>
            </w:r>
            <w:r>
              <w:rPr>
                <w:rFonts w:hint="eastAsia" w:ascii="仿宋_GB2312" w:hAnsi="宋体" w:eastAsia="仿宋_GB2312" w:cs="宋体"/>
                <w:b/>
                <w:bCs/>
                <w:color w:val="000000"/>
                <w:sz w:val="26"/>
                <w:szCs w:val="26"/>
              </w:rPr>
              <w:t xml:space="preserve"> </w:t>
            </w:r>
          </w:p>
        </w:tc>
        <w:tc>
          <w:tcPr>
            <w:tcW w:w="1062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exac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14</w:t>
            </w:r>
            <w:r>
              <w:rPr>
                <w:rFonts w:hint="eastAsia" w:ascii="仿宋_GB2312" w:hAnsi="华文仿宋" w:eastAsia="仿宋_GB2312" w:cs="宋体"/>
                <w:color w:val="000000"/>
                <w:sz w:val="26"/>
                <w:szCs w:val="26"/>
              </w:rPr>
              <w:t xml:space="preserve">．及时报告本单位、部门党风廉政建设方面取得的主要成绩或出现的重要问题，对取得的成绩，予以总结提炼；对出现的问题，进行调查处理；                                    </w:t>
            </w:r>
            <w:r>
              <w:rPr>
                <w:rFonts w:hint="eastAsia" w:ascii="仿宋_GB2312" w:hAnsi="宋体" w:eastAsia="仿宋_GB2312" w:cs="宋体"/>
                <w:color w:val="000000"/>
                <w:sz w:val="26"/>
                <w:szCs w:val="26"/>
              </w:rPr>
              <w:t>15</w:t>
            </w:r>
            <w:r>
              <w:rPr>
                <w:rFonts w:hint="eastAsia" w:ascii="仿宋_GB2312" w:hAnsi="华文仿宋" w:eastAsia="仿宋_GB2312" w:cs="宋体"/>
                <w:color w:val="000000"/>
                <w:sz w:val="26"/>
                <w:szCs w:val="26"/>
              </w:rPr>
              <w:t>．自觉接受</w:t>
            </w:r>
            <w:r>
              <w:rPr>
                <w:rFonts w:hint="eastAsia" w:ascii="仿宋_GB2312" w:hAnsi="华文仿宋" w:eastAsia="仿宋_GB2312" w:cs="宋体"/>
                <w:color w:val="000000"/>
                <w:sz w:val="26"/>
                <w:szCs w:val="26"/>
                <w:lang w:eastAsia="zh-CN"/>
              </w:rPr>
              <w:t>学院</w:t>
            </w:r>
            <w:r>
              <w:rPr>
                <w:rFonts w:hint="eastAsia" w:ascii="仿宋_GB2312" w:hAnsi="华文仿宋" w:eastAsia="仿宋_GB2312" w:cs="宋体"/>
                <w:color w:val="000000"/>
                <w:sz w:val="26"/>
                <w:szCs w:val="26"/>
                <w:shd w:val="clear" w:color="auto" w:fill="FFFFFF"/>
              </w:rPr>
              <w:t>组织的对</w:t>
            </w:r>
            <w:r>
              <w:rPr>
                <w:rFonts w:hint="eastAsia" w:ascii="仿宋_GB2312" w:hAnsi="华文仿宋" w:eastAsia="仿宋_GB2312" w:cs="宋体"/>
                <w:color w:val="000000"/>
                <w:sz w:val="26"/>
                <w:szCs w:val="26"/>
              </w:rPr>
              <w:t>本单位、部门</w:t>
            </w:r>
            <w:r>
              <w:rPr>
                <w:rFonts w:hint="eastAsia" w:ascii="仿宋_GB2312" w:hAnsi="华文仿宋" w:eastAsia="仿宋_GB2312" w:cs="宋体"/>
                <w:color w:val="000000"/>
                <w:sz w:val="26"/>
                <w:szCs w:val="26"/>
                <w:shd w:val="clear" w:color="auto" w:fill="FFFFFF"/>
              </w:rPr>
              <w:t>党风廉政建设责任制落实情况以及本单位、部门正副职廉洁自律情况的检查考核；</w:t>
            </w:r>
            <w:r>
              <w:rPr>
                <w:rFonts w:hint="eastAsia" w:ascii="仿宋_GB2312" w:hAnsi="华文仿宋" w:eastAsia="仿宋_GB2312" w:cs="宋体"/>
                <w:color w:val="000000"/>
                <w:sz w:val="26"/>
                <w:szCs w:val="26"/>
              </w:rPr>
              <w:t>每年底，向院党委和纪委报告本单位、部门党风廉政建设工作情况。</w:t>
            </w:r>
            <w:r>
              <w:rPr>
                <w:rFonts w:hint="eastAsia" w:ascii="仿宋_GB2312" w:hAnsi="宋体" w:eastAsia="仿宋_GB2312" w:cs="宋体"/>
                <w:color w:val="000000"/>
                <w:sz w:val="26"/>
                <w:szCs w:val="26"/>
              </w:rPr>
              <w:t xml:space="preserve"> </w:t>
            </w:r>
          </w:p>
        </w:tc>
      </w:tr>
      <w:tr>
        <w:tblPrEx>
          <w:tblLayout w:type="fixed"/>
          <w:tblCellMar>
            <w:top w:w="0" w:type="dxa"/>
            <w:left w:w="95" w:type="dxa"/>
            <w:bottom w:w="0" w:type="dxa"/>
            <w:right w:w="95" w:type="dxa"/>
          </w:tblCellMar>
        </w:tblPrEx>
        <w:trPr>
          <w:trHeight w:val="1134" w:hRule="atLeast"/>
          <w:jc w:val="center"/>
        </w:trPr>
        <w:tc>
          <w:tcPr>
            <w:tcW w:w="46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宋体" w:eastAsia="仿宋_GB2312" w:cs="宋体"/>
                <w:b/>
                <w:bCs/>
                <w:color w:val="000000"/>
                <w:sz w:val="26"/>
                <w:szCs w:val="26"/>
              </w:rPr>
              <w:t xml:space="preserve">7 </w:t>
            </w:r>
          </w:p>
        </w:tc>
        <w:tc>
          <w:tcPr>
            <w:tcW w:w="1834"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99" w:lineRule="atLeast"/>
              <w:jc w:val="center"/>
              <w:rPr>
                <w:rFonts w:ascii="仿宋_GB2312" w:hAnsi="宋体" w:eastAsia="仿宋_GB2312" w:cs="宋体"/>
                <w:b/>
                <w:bCs/>
                <w:color w:val="000000"/>
                <w:sz w:val="26"/>
                <w:szCs w:val="26"/>
              </w:rPr>
            </w:pPr>
            <w:r>
              <w:rPr>
                <w:rFonts w:hint="eastAsia" w:ascii="仿宋_GB2312" w:hAnsi="华文仿宋" w:eastAsia="仿宋_GB2312" w:cs="宋体"/>
                <w:b/>
                <w:bCs/>
                <w:color w:val="000000"/>
                <w:sz w:val="26"/>
                <w:szCs w:val="26"/>
              </w:rPr>
              <w:t>严格廉洁自律</w:t>
            </w:r>
            <w:r>
              <w:rPr>
                <w:rFonts w:hint="eastAsia" w:ascii="仿宋_GB2312" w:hAnsi="宋体" w:eastAsia="仿宋_GB2312" w:cs="宋体"/>
                <w:b/>
                <w:bCs/>
                <w:color w:val="000000"/>
                <w:sz w:val="26"/>
                <w:szCs w:val="26"/>
              </w:rPr>
              <w:t xml:space="preserve"> </w:t>
            </w:r>
          </w:p>
        </w:tc>
        <w:tc>
          <w:tcPr>
            <w:tcW w:w="10623" w:type="dxa"/>
            <w:tcBorders>
              <w:top w:val="single" w:color="000000" w:sz="6" w:space="0"/>
              <w:left w:val="nil"/>
              <w:bottom w:val="single" w:color="000000" w:sz="6" w:space="0"/>
              <w:right w:val="single" w:color="000000" w:sz="6" w:space="0"/>
            </w:tcBorders>
            <w:vAlign w:val="center"/>
          </w:tcPr>
          <w:p>
            <w:pPr>
              <w:widowControl/>
              <w:snapToGrid w:val="0"/>
              <w:spacing w:before="100" w:beforeAutospacing="1" w:after="100" w:afterAutospacing="1" w:line="285" w:lineRule="exact"/>
              <w:jc w:val="left"/>
              <w:rPr>
                <w:rFonts w:ascii="仿宋_GB2312" w:hAnsi="宋体" w:eastAsia="仿宋_GB2312" w:cs="宋体"/>
                <w:color w:val="000000"/>
                <w:sz w:val="26"/>
                <w:szCs w:val="26"/>
              </w:rPr>
            </w:pPr>
            <w:r>
              <w:rPr>
                <w:rFonts w:hint="eastAsia" w:ascii="仿宋_GB2312" w:hAnsi="宋体" w:eastAsia="仿宋_GB2312" w:cs="宋体"/>
                <w:color w:val="000000"/>
                <w:sz w:val="26"/>
                <w:szCs w:val="26"/>
              </w:rPr>
              <w:t>16</w:t>
            </w:r>
            <w:r>
              <w:rPr>
                <w:rFonts w:hint="eastAsia" w:ascii="仿宋_GB2312" w:hAnsi="华文仿宋" w:eastAsia="仿宋_GB2312" w:cs="宋体"/>
                <w:color w:val="000000"/>
                <w:sz w:val="26"/>
                <w:szCs w:val="26"/>
              </w:rPr>
              <w:t>．认真执行中央八项规定精神以及党员干部廉洁从政有关规定；及时申报个人有关事项；</w:t>
            </w:r>
            <w:r>
              <w:rPr>
                <w:rFonts w:hint="eastAsia" w:ascii="仿宋_GB2312" w:hAnsi="宋体" w:eastAsia="仿宋_GB2312" w:cs="宋体"/>
                <w:color w:val="000000"/>
                <w:sz w:val="26"/>
                <w:szCs w:val="26"/>
              </w:rPr>
              <w:t xml:space="preserve"> 17</w:t>
            </w:r>
            <w:r>
              <w:rPr>
                <w:rFonts w:hint="eastAsia" w:ascii="仿宋_GB2312" w:hAnsi="华文仿宋" w:eastAsia="仿宋_GB2312" w:cs="宋体"/>
                <w:color w:val="000000"/>
                <w:sz w:val="26"/>
                <w:szCs w:val="26"/>
              </w:rPr>
              <w:t>．带头执行本单位、部门“三重一大”等制度，按制度管权管人管事；述职述廉，自觉接受监督。</w:t>
            </w:r>
            <w:r>
              <w:rPr>
                <w:rFonts w:hint="eastAsia" w:ascii="仿宋_GB2312" w:hAnsi="宋体" w:eastAsia="仿宋_GB2312" w:cs="宋体"/>
                <w:color w:val="000000"/>
                <w:sz w:val="26"/>
                <w:szCs w:val="26"/>
              </w:rPr>
              <w:t xml:space="preserve"> </w:t>
            </w:r>
          </w:p>
        </w:tc>
      </w:tr>
    </w:tbl>
    <w:p>
      <w:pPr>
        <w:widowControl/>
        <w:snapToGrid w:val="0"/>
        <w:spacing w:before="100" w:beforeAutospacing="1" w:after="100" w:afterAutospacing="1" w:line="299" w:lineRule="atLeast"/>
        <w:jc w:val="center"/>
        <w:rPr>
          <w:rFonts w:ascii="仿宋_GB2312" w:hAnsi="华文仿宋" w:eastAsia="仿宋_GB2312"/>
          <w:color w:val="000000"/>
          <w:sz w:val="26"/>
          <w:szCs w:val="26"/>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Pr>
        <w:jc w:val="both"/>
        <w:rPr>
          <w:rFonts w:hint="eastAsia" w:cs="宋体"/>
          <w:b/>
          <w:bCs/>
          <w:sz w:val="32"/>
          <w:szCs w:val="32"/>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cs="宋体"/>
          <w:b/>
          <w:bCs/>
          <w:sz w:val="32"/>
          <w:szCs w:val="32"/>
        </w:rPr>
      </w:pPr>
      <w:r>
        <w:rPr>
          <w:rFonts w:hint="eastAsia" w:cs="宋体"/>
          <w:b/>
          <w:bCs/>
          <w:sz w:val="32"/>
          <w:szCs w:val="32"/>
        </w:rPr>
        <w:t>上海城建职业学院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cs="宋体"/>
          <w:b/>
          <w:bCs/>
          <w:sz w:val="32"/>
          <w:szCs w:val="32"/>
        </w:rPr>
      </w:pPr>
      <w:r>
        <w:rPr>
          <w:rFonts w:hint="eastAsia" w:cs="宋体"/>
          <w:b/>
          <w:bCs/>
          <w:sz w:val="32"/>
          <w:szCs w:val="32"/>
        </w:rPr>
        <w:t>党风廉政建设承诺书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w:t>
      </w:r>
      <w:r>
        <w:rPr>
          <w:sz w:val="28"/>
          <w:szCs w:val="28"/>
        </w:rPr>
        <w:t xml:space="preserve">     </w:t>
      </w:r>
      <w:r>
        <w:rPr>
          <w:rFonts w:hint="eastAsia"/>
          <w:sz w:val="28"/>
          <w:szCs w:val="28"/>
        </w:rPr>
        <w:t xml:space="preserve">  </w:t>
      </w:r>
      <w:r>
        <w:rPr>
          <w:rFonts w:hint="eastAsia" w:cs="宋体"/>
          <w:b/>
          <w:bCs/>
          <w:sz w:val="28"/>
          <w:szCs w:val="28"/>
        </w:rPr>
        <w:t>年</w:t>
      </w:r>
      <w:r>
        <w:rPr>
          <w:rFonts w:hint="eastAsia" w:cs="宋体"/>
          <w:sz w:val="28"/>
          <w:szCs w:val="28"/>
        </w:rPr>
        <w:t>）</w:t>
      </w:r>
    </w:p>
    <w:tbl>
      <w:tblPr>
        <w:tblStyle w:val="8"/>
        <w:tblW w:w="886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2153"/>
        <w:gridCol w:w="2154"/>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153" w:type="dxa"/>
          </w:tcPr>
          <w:p>
            <w:pPr>
              <w:spacing w:line="600" w:lineRule="auto"/>
              <w:jc w:val="center"/>
              <w:rPr>
                <w:rFonts w:cs="Times New Roman"/>
                <w:b/>
                <w:bCs/>
                <w:sz w:val="28"/>
                <w:szCs w:val="28"/>
              </w:rPr>
            </w:pPr>
            <w:r>
              <w:rPr>
                <w:rFonts w:hint="eastAsia" w:cs="宋体"/>
                <w:b/>
                <w:bCs/>
                <w:sz w:val="28"/>
                <w:szCs w:val="28"/>
              </w:rPr>
              <w:t>姓</w:t>
            </w:r>
            <w:r>
              <w:rPr>
                <w:b/>
                <w:bCs/>
                <w:sz w:val="28"/>
                <w:szCs w:val="28"/>
              </w:rPr>
              <w:t xml:space="preserve"> </w:t>
            </w:r>
            <w:r>
              <w:rPr>
                <w:rFonts w:hint="eastAsia" w:cs="宋体"/>
                <w:b/>
                <w:bCs/>
                <w:sz w:val="28"/>
                <w:szCs w:val="28"/>
              </w:rPr>
              <w:t>名</w:t>
            </w:r>
          </w:p>
        </w:tc>
        <w:tc>
          <w:tcPr>
            <w:tcW w:w="2153" w:type="dxa"/>
          </w:tcPr>
          <w:p>
            <w:pPr>
              <w:jc w:val="center"/>
              <w:rPr>
                <w:rFonts w:cs="Times New Roman"/>
                <w:sz w:val="28"/>
                <w:szCs w:val="28"/>
              </w:rPr>
            </w:pPr>
          </w:p>
        </w:tc>
        <w:tc>
          <w:tcPr>
            <w:tcW w:w="2154" w:type="dxa"/>
          </w:tcPr>
          <w:p>
            <w:pPr>
              <w:spacing w:line="600" w:lineRule="auto"/>
              <w:jc w:val="center"/>
              <w:rPr>
                <w:rFonts w:cs="Times New Roman"/>
                <w:b/>
                <w:bCs/>
                <w:sz w:val="28"/>
                <w:szCs w:val="28"/>
              </w:rPr>
            </w:pPr>
            <w:r>
              <w:rPr>
                <w:rFonts w:hint="eastAsia" w:cs="宋体"/>
                <w:b/>
                <w:bCs/>
                <w:sz w:val="28"/>
                <w:szCs w:val="28"/>
              </w:rPr>
              <w:t>职务</w:t>
            </w:r>
          </w:p>
        </w:tc>
        <w:tc>
          <w:tcPr>
            <w:tcW w:w="2401" w:type="dxa"/>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8861" w:type="dxa"/>
            <w:gridSpan w:val="4"/>
          </w:tcPr>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sz w:val="28"/>
                <w:szCs w:val="28"/>
              </w:rPr>
            </w:pPr>
            <w:r>
              <w:rPr>
                <w:rFonts w:hint="eastAsia" w:cs="宋体"/>
                <w:sz w:val="28"/>
                <w:szCs w:val="28"/>
              </w:rPr>
              <w:t>签字：</w:t>
            </w:r>
            <w:r>
              <w:rPr>
                <w:sz w:val="28"/>
                <w:szCs w:val="28"/>
              </w:rPr>
              <w:t xml:space="preserve">                              </w:t>
            </w:r>
            <w:r>
              <w:rPr>
                <w:rFonts w:hint="eastAsia"/>
                <w:sz w:val="28"/>
                <w:szCs w:val="28"/>
              </w:rPr>
              <w:t xml:space="preserve">  </w:t>
            </w:r>
            <w:r>
              <w:rPr>
                <w:rFonts w:hint="eastAsia" w:cs="宋体"/>
                <w:sz w:val="28"/>
                <w:szCs w:val="28"/>
              </w:rPr>
              <w:t>日期：</w:t>
            </w:r>
          </w:p>
        </w:tc>
      </w:tr>
    </w:tbl>
    <w:p>
      <w:pPr>
        <w:rPr>
          <w:rFonts w:cs="Times New Roman"/>
        </w:rPr>
      </w:pPr>
    </w:p>
    <w:p>
      <w:pPr>
        <w:widowControl/>
        <w:jc w:val="left"/>
        <w:rPr>
          <w:sz w:val="28"/>
          <w:szCs w:val="28"/>
        </w:rPr>
      </w:pPr>
      <w:r>
        <w:rPr>
          <w:rFonts w:hint="eastAsia" w:cs="宋体"/>
          <w:sz w:val="24"/>
          <w:szCs w:val="24"/>
        </w:rPr>
        <w:t>注：班子成员立足本人分管工作，在落实“一岗双责、廉洁自律、管好自己、当好表率方面</w:t>
      </w:r>
      <w:r>
        <w:rPr>
          <w:rFonts w:hint="eastAsia" w:cs="宋体"/>
          <w:sz w:val="24"/>
          <w:szCs w:val="24"/>
          <w:lang w:eastAsia="zh-CN"/>
        </w:rPr>
        <w:t>作</w:t>
      </w:r>
      <w:r>
        <w:rPr>
          <w:rFonts w:hint="eastAsia" w:cs="宋体"/>
          <w:sz w:val="24"/>
          <w:szCs w:val="24"/>
        </w:rPr>
        <w:t>出承诺。此表一式两份，一份本人</w:t>
      </w:r>
      <w:r>
        <w:rPr>
          <w:rFonts w:hint="eastAsia" w:cs="宋体"/>
          <w:color w:val="auto"/>
          <w:sz w:val="24"/>
          <w:szCs w:val="24"/>
          <w:lang w:eastAsia="zh-CN"/>
        </w:rPr>
        <w:t>保存</w:t>
      </w:r>
      <w:r>
        <w:rPr>
          <w:rFonts w:hint="eastAsia" w:cs="宋体"/>
          <w:sz w:val="24"/>
          <w:szCs w:val="24"/>
        </w:rPr>
        <w:t>，一份党委留存。</w:t>
      </w:r>
      <w:bookmarkStart w:id="0" w:name="_GoBack"/>
      <w:bookmarkEnd w:id="0"/>
      <w:r>
        <w:rPr>
          <w:rFonts w:cs="Times New Roman"/>
          <w:sz w:val="24"/>
          <w:szCs w:val="24"/>
        </w:rPr>
        <w:br w:type="page"/>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4</w:t>
      </w:r>
    </w:p>
    <w:p>
      <w:pPr>
        <w:jc w:val="center"/>
        <w:rPr>
          <w:rFonts w:cs="宋体"/>
          <w:b/>
          <w:bCs/>
          <w:sz w:val="32"/>
          <w:szCs w:val="32"/>
        </w:rPr>
      </w:pPr>
      <w:r>
        <w:rPr>
          <w:rFonts w:hint="eastAsia" w:cs="宋体"/>
          <w:b/>
          <w:bCs/>
          <w:sz w:val="32"/>
          <w:szCs w:val="32"/>
        </w:rPr>
        <w:t>上海城建职业学院</w:t>
      </w:r>
    </w:p>
    <w:p>
      <w:pPr>
        <w:jc w:val="center"/>
        <w:rPr>
          <w:rFonts w:cs="宋体"/>
          <w:b/>
          <w:bCs/>
          <w:sz w:val="32"/>
          <w:szCs w:val="32"/>
        </w:rPr>
      </w:pPr>
      <w:r>
        <w:rPr>
          <w:rFonts w:hint="eastAsia" w:cs="宋体"/>
          <w:b/>
          <w:bCs/>
          <w:sz w:val="32"/>
          <w:szCs w:val="32"/>
        </w:rPr>
        <w:t>党风廉政建设主体责任计划书</w:t>
      </w:r>
    </w:p>
    <w:p>
      <w:pPr>
        <w:jc w:val="center"/>
        <w:rPr>
          <w:rFonts w:cs="Times New Roman"/>
          <w:sz w:val="28"/>
          <w:szCs w:val="28"/>
        </w:rPr>
      </w:pPr>
      <w:r>
        <w:rPr>
          <w:rFonts w:hint="eastAsia" w:cs="宋体"/>
          <w:sz w:val="28"/>
          <w:szCs w:val="28"/>
        </w:rPr>
        <w:t>（</w:t>
      </w:r>
      <w:r>
        <w:rPr>
          <w:sz w:val="28"/>
          <w:szCs w:val="28"/>
        </w:rPr>
        <w:t xml:space="preserve">    </w:t>
      </w:r>
      <w:r>
        <w:rPr>
          <w:rFonts w:hint="eastAsia"/>
          <w:sz w:val="28"/>
          <w:szCs w:val="28"/>
        </w:rPr>
        <w:t xml:space="preserve">  </w:t>
      </w:r>
      <w:r>
        <w:rPr>
          <w:rFonts w:hint="eastAsia" w:cs="宋体"/>
          <w:sz w:val="28"/>
          <w:szCs w:val="28"/>
        </w:rPr>
        <w:t>年）</w:t>
      </w:r>
    </w:p>
    <w:tbl>
      <w:tblPr>
        <w:tblStyle w:val="8"/>
        <w:tblW w:w="90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964"/>
        <w:gridCol w:w="162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284" w:type="dxa"/>
          </w:tcPr>
          <w:p>
            <w:pPr>
              <w:spacing w:line="600" w:lineRule="auto"/>
              <w:jc w:val="center"/>
              <w:rPr>
                <w:rFonts w:cs="Times New Roman"/>
                <w:b/>
                <w:bCs/>
                <w:sz w:val="28"/>
                <w:szCs w:val="28"/>
              </w:rPr>
            </w:pPr>
            <w:r>
              <w:rPr>
                <w:rFonts w:hint="eastAsia" w:cs="宋体"/>
                <w:b/>
                <w:bCs/>
                <w:sz w:val="28"/>
                <w:szCs w:val="28"/>
              </w:rPr>
              <w:t>姓名</w:t>
            </w:r>
          </w:p>
        </w:tc>
        <w:tc>
          <w:tcPr>
            <w:tcW w:w="1964" w:type="dxa"/>
          </w:tcPr>
          <w:p>
            <w:pPr>
              <w:spacing w:line="600" w:lineRule="auto"/>
              <w:rPr>
                <w:rFonts w:cs="Times New Roman"/>
                <w:b/>
                <w:bCs/>
                <w:sz w:val="28"/>
                <w:szCs w:val="28"/>
              </w:rPr>
            </w:pPr>
          </w:p>
        </w:tc>
        <w:tc>
          <w:tcPr>
            <w:tcW w:w="1620" w:type="dxa"/>
          </w:tcPr>
          <w:p>
            <w:pPr>
              <w:spacing w:line="600" w:lineRule="auto"/>
              <w:jc w:val="center"/>
              <w:rPr>
                <w:rFonts w:cs="Times New Roman"/>
                <w:b/>
                <w:bCs/>
                <w:sz w:val="28"/>
                <w:szCs w:val="28"/>
              </w:rPr>
            </w:pPr>
            <w:r>
              <w:rPr>
                <w:rFonts w:hint="eastAsia" w:cs="宋体"/>
                <w:b/>
                <w:bCs/>
                <w:sz w:val="28"/>
                <w:szCs w:val="28"/>
              </w:rPr>
              <w:t>职务</w:t>
            </w:r>
          </w:p>
        </w:tc>
        <w:tc>
          <w:tcPr>
            <w:tcW w:w="3135" w:type="dxa"/>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2284" w:type="dxa"/>
            <w:vAlign w:val="center"/>
          </w:tcPr>
          <w:p>
            <w:pPr>
              <w:spacing w:line="600" w:lineRule="auto"/>
              <w:jc w:val="center"/>
              <w:rPr>
                <w:rFonts w:cs="Times New Roman"/>
                <w:b/>
                <w:bCs/>
                <w:sz w:val="28"/>
                <w:szCs w:val="28"/>
              </w:rPr>
            </w:pPr>
            <w:r>
              <w:rPr>
                <w:rFonts w:hint="eastAsia" w:cs="宋体"/>
                <w:b/>
                <w:bCs/>
                <w:sz w:val="28"/>
                <w:szCs w:val="28"/>
              </w:rPr>
              <w:t>项目名称</w:t>
            </w:r>
          </w:p>
        </w:tc>
        <w:tc>
          <w:tcPr>
            <w:tcW w:w="6719" w:type="dxa"/>
            <w:gridSpan w:val="3"/>
          </w:tcPr>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2284" w:type="dxa"/>
            <w:vAlign w:val="center"/>
          </w:tcPr>
          <w:p>
            <w:pPr>
              <w:spacing w:line="600" w:lineRule="auto"/>
              <w:jc w:val="center"/>
              <w:rPr>
                <w:rFonts w:cs="Times New Roman"/>
                <w:b/>
                <w:bCs/>
                <w:sz w:val="28"/>
                <w:szCs w:val="28"/>
              </w:rPr>
            </w:pPr>
            <w:r>
              <w:rPr>
                <w:rFonts w:hint="eastAsia" w:cs="宋体"/>
                <w:b/>
                <w:bCs/>
                <w:sz w:val="28"/>
                <w:szCs w:val="28"/>
              </w:rPr>
              <w:t>目标任务</w:t>
            </w:r>
          </w:p>
        </w:tc>
        <w:tc>
          <w:tcPr>
            <w:tcW w:w="6719" w:type="dxa"/>
            <w:gridSpan w:val="3"/>
          </w:tcPr>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2284" w:type="dxa"/>
            <w:vAlign w:val="center"/>
          </w:tcPr>
          <w:p>
            <w:pPr>
              <w:spacing w:line="600" w:lineRule="auto"/>
              <w:jc w:val="center"/>
              <w:rPr>
                <w:rFonts w:cs="Times New Roman"/>
                <w:b/>
                <w:bCs/>
                <w:sz w:val="28"/>
                <w:szCs w:val="28"/>
              </w:rPr>
            </w:pPr>
            <w:r>
              <w:rPr>
                <w:rFonts w:hint="eastAsia" w:cs="宋体"/>
                <w:b/>
                <w:bCs/>
                <w:sz w:val="28"/>
                <w:szCs w:val="28"/>
              </w:rPr>
              <w:t>工作举措</w:t>
            </w:r>
          </w:p>
        </w:tc>
        <w:tc>
          <w:tcPr>
            <w:tcW w:w="6719" w:type="dxa"/>
            <w:gridSpan w:val="3"/>
          </w:tcPr>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2284" w:type="dxa"/>
            <w:vAlign w:val="center"/>
          </w:tcPr>
          <w:p>
            <w:pPr>
              <w:spacing w:line="600" w:lineRule="auto"/>
              <w:jc w:val="center"/>
              <w:rPr>
                <w:rFonts w:cs="Times New Roman"/>
                <w:b/>
                <w:bCs/>
                <w:sz w:val="28"/>
                <w:szCs w:val="28"/>
              </w:rPr>
            </w:pPr>
            <w:r>
              <w:rPr>
                <w:rFonts w:hint="eastAsia" w:cs="宋体"/>
                <w:b/>
                <w:bCs/>
                <w:sz w:val="28"/>
                <w:szCs w:val="28"/>
              </w:rPr>
              <w:t>时间节点</w:t>
            </w:r>
          </w:p>
        </w:tc>
        <w:tc>
          <w:tcPr>
            <w:tcW w:w="6719" w:type="dxa"/>
            <w:gridSpan w:val="3"/>
          </w:tcPr>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2284" w:type="dxa"/>
            <w:vAlign w:val="center"/>
          </w:tcPr>
          <w:p>
            <w:pPr>
              <w:spacing w:line="600" w:lineRule="auto"/>
              <w:jc w:val="center"/>
              <w:rPr>
                <w:rFonts w:cs="Times New Roman"/>
                <w:b/>
                <w:bCs/>
                <w:sz w:val="28"/>
                <w:szCs w:val="28"/>
              </w:rPr>
            </w:pPr>
            <w:r>
              <w:rPr>
                <w:rFonts w:hint="eastAsia" w:cs="宋体"/>
                <w:b/>
                <w:bCs/>
                <w:sz w:val="28"/>
                <w:szCs w:val="28"/>
              </w:rPr>
              <w:t>职能部门</w:t>
            </w:r>
          </w:p>
        </w:tc>
        <w:tc>
          <w:tcPr>
            <w:tcW w:w="6719" w:type="dxa"/>
            <w:gridSpan w:val="3"/>
          </w:tcPr>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bl>
    <w:p>
      <w:pPr>
        <w:widowControl/>
        <w:jc w:val="left"/>
        <w:rPr>
          <w:rFonts w:cs="宋体"/>
          <w:sz w:val="28"/>
          <w:szCs w:val="28"/>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5</w:t>
      </w:r>
    </w:p>
    <w:p>
      <w:pPr>
        <w:jc w:val="center"/>
        <w:rPr>
          <w:rFonts w:cs="宋体"/>
          <w:b/>
          <w:bCs/>
          <w:sz w:val="32"/>
          <w:szCs w:val="32"/>
        </w:rPr>
      </w:pPr>
      <w:r>
        <w:rPr>
          <w:rFonts w:hint="eastAsia" w:cs="宋体"/>
          <w:b/>
          <w:bCs/>
          <w:sz w:val="32"/>
          <w:szCs w:val="32"/>
        </w:rPr>
        <w:t>上海城建职业学院</w:t>
      </w:r>
    </w:p>
    <w:p>
      <w:pPr>
        <w:jc w:val="center"/>
        <w:rPr>
          <w:rFonts w:cs="宋体"/>
          <w:b/>
          <w:bCs/>
          <w:sz w:val="32"/>
          <w:szCs w:val="32"/>
        </w:rPr>
      </w:pPr>
      <w:r>
        <w:rPr>
          <w:rFonts w:hint="eastAsia" w:cs="宋体"/>
          <w:b/>
          <w:bCs/>
          <w:sz w:val="32"/>
          <w:szCs w:val="32"/>
        </w:rPr>
        <w:t>党风廉政建设主体责任项目书</w:t>
      </w:r>
    </w:p>
    <w:p>
      <w:pPr>
        <w:jc w:val="center"/>
        <w:rPr>
          <w:rFonts w:cs="Times New Roman"/>
          <w:sz w:val="28"/>
          <w:szCs w:val="28"/>
        </w:rPr>
      </w:pPr>
      <w:r>
        <w:rPr>
          <w:rFonts w:hint="eastAsia" w:cs="宋体"/>
          <w:sz w:val="28"/>
          <w:szCs w:val="28"/>
        </w:rPr>
        <w:t>（</w:t>
      </w:r>
      <w:r>
        <w:rPr>
          <w:sz w:val="28"/>
          <w:szCs w:val="28"/>
        </w:rPr>
        <w:t xml:space="preserve">  </w:t>
      </w:r>
      <w:r>
        <w:rPr>
          <w:rFonts w:hint="eastAsia"/>
          <w:sz w:val="28"/>
          <w:szCs w:val="28"/>
        </w:rPr>
        <w:t xml:space="preserve">   </w:t>
      </w:r>
      <w:r>
        <w:rPr>
          <w:sz w:val="28"/>
          <w:szCs w:val="28"/>
        </w:rPr>
        <w:t xml:space="preserve"> </w:t>
      </w:r>
      <w:r>
        <w:rPr>
          <w:rFonts w:hint="eastAsia" w:cs="宋体"/>
          <w:sz w:val="28"/>
          <w:szCs w:val="28"/>
        </w:rPr>
        <w:t>年）</w:t>
      </w:r>
    </w:p>
    <w:tbl>
      <w:tblPr>
        <w:tblStyle w:val="8"/>
        <w:tblW w:w="89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440"/>
        <w:gridCol w:w="1440"/>
        <w:gridCol w:w="180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30" w:type="dxa"/>
            <w:vAlign w:val="center"/>
          </w:tcPr>
          <w:p>
            <w:pPr>
              <w:spacing w:line="600" w:lineRule="auto"/>
              <w:rPr>
                <w:rFonts w:cs="Times New Roman"/>
                <w:b/>
                <w:bCs/>
                <w:sz w:val="28"/>
                <w:szCs w:val="28"/>
              </w:rPr>
            </w:pPr>
            <w:r>
              <w:rPr>
                <w:rFonts w:hint="eastAsia" w:cs="宋体"/>
                <w:b/>
                <w:bCs/>
                <w:sz w:val="28"/>
                <w:szCs w:val="28"/>
              </w:rPr>
              <w:t>项目名称</w:t>
            </w:r>
          </w:p>
        </w:tc>
        <w:tc>
          <w:tcPr>
            <w:tcW w:w="144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p>
        </w:tc>
        <w:tc>
          <w:tcPr>
            <w:tcW w:w="180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30" w:type="dxa"/>
            <w:vAlign w:val="center"/>
          </w:tcPr>
          <w:p>
            <w:pPr>
              <w:spacing w:line="600" w:lineRule="auto"/>
              <w:rPr>
                <w:rFonts w:cs="Times New Roman"/>
                <w:b/>
                <w:bCs/>
                <w:sz w:val="28"/>
                <w:szCs w:val="28"/>
              </w:rPr>
            </w:pPr>
            <w:r>
              <w:rPr>
                <w:rFonts w:hint="eastAsia" w:cs="宋体"/>
                <w:b/>
                <w:bCs/>
                <w:sz w:val="28"/>
                <w:szCs w:val="28"/>
              </w:rPr>
              <w:t>分管领导</w:t>
            </w:r>
          </w:p>
        </w:tc>
        <w:tc>
          <w:tcPr>
            <w:tcW w:w="144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p>
        </w:tc>
        <w:tc>
          <w:tcPr>
            <w:tcW w:w="180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30" w:type="dxa"/>
            <w:vAlign w:val="center"/>
          </w:tcPr>
          <w:p>
            <w:pPr>
              <w:spacing w:line="600" w:lineRule="auto"/>
              <w:rPr>
                <w:rFonts w:cs="Times New Roman"/>
                <w:b/>
                <w:bCs/>
                <w:sz w:val="28"/>
                <w:szCs w:val="28"/>
              </w:rPr>
            </w:pPr>
            <w:r>
              <w:rPr>
                <w:rFonts w:hint="eastAsia" w:cs="宋体"/>
                <w:b/>
                <w:bCs/>
                <w:sz w:val="28"/>
                <w:szCs w:val="28"/>
              </w:rPr>
              <w:t>职能部门</w:t>
            </w:r>
          </w:p>
        </w:tc>
        <w:tc>
          <w:tcPr>
            <w:tcW w:w="144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r>
              <w:rPr>
                <w:rFonts w:hint="eastAsia" w:cs="宋体"/>
                <w:b/>
                <w:bCs/>
                <w:sz w:val="28"/>
                <w:szCs w:val="28"/>
              </w:rPr>
              <w:t>责任人</w:t>
            </w:r>
          </w:p>
        </w:tc>
        <w:tc>
          <w:tcPr>
            <w:tcW w:w="180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r>
              <w:rPr>
                <w:rFonts w:hint="eastAsia" w:cs="宋体"/>
                <w:b/>
                <w:bCs/>
                <w:sz w:val="28"/>
                <w:szCs w:val="28"/>
              </w:rPr>
              <w:t>联络人</w:t>
            </w:r>
          </w:p>
        </w:tc>
        <w:tc>
          <w:tcPr>
            <w:tcW w:w="1440" w:type="dxa"/>
            <w:vAlign w:val="center"/>
          </w:tcPr>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30" w:type="dxa"/>
            <w:vAlign w:val="center"/>
          </w:tcPr>
          <w:p>
            <w:pPr>
              <w:spacing w:line="600" w:lineRule="auto"/>
              <w:rPr>
                <w:rFonts w:cs="Times New Roman"/>
                <w:b/>
                <w:bCs/>
                <w:sz w:val="28"/>
                <w:szCs w:val="28"/>
              </w:rPr>
            </w:pPr>
            <w:r>
              <w:rPr>
                <w:rFonts w:hint="eastAsia" w:cs="宋体"/>
                <w:b/>
                <w:bCs/>
                <w:sz w:val="28"/>
                <w:szCs w:val="28"/>
              </w:rPr>
              <w:t>配合部门</w:t>
            </w:r>
          </w:p>
        </w:tc>
        <w:tc>
          <w:tcPr>
            <w:tcW w:w="144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r>
              <w:rPr>
                <w:rFonts w:hint="eastAsia" w:cs="宋体"/>
                <w:b/>
                <w:bCs/>
                <w:sz w:val="28"/>
                <w:szCs w:val="28"/>
              </w:rPr>
              <w:t>责任人</w:t>
            </w:r>
          </w:p>
        </w:tc>
        <w:tc>
          <w:tcPr>
            <w:tcW w:w="1800" w:type="dxa"/>
            <w:vAlign w:val="center"/>
          </w:tcPr>
          <w:p>
            <w:pPr>
              <w:spacing w:line="600" w:lineRule="auto"/>
              <w:rPr>
                <w:rFonts w:cs="Times New Roman"/>
                <w:b/>
                <w:bCs/>
                <w:sz w:val="28"/>
                <w:szCs w:val="28"/>
              </w:rPr>
            </w:pPr>
          </w:p>
        </w:tc>
        <w:tc>
          <w:tcPr>
            <w:tcW w:w="1440" w:type="dxa"/>
            <w:vAlign w:val="center"/>
          </w:tcPr>
          <w:p>
            <w:pPr>
              <w:spacing w:line="600" w:lineRule="auto"/>
              <w:rPr>
                <w:rFonts w:cs="Times New Roman"/>
                <w:b/>
                <w:bCs/>
                <w:sz w:val="28"/>
                <w:szCs w:val="28"/>
              </w:rPr>
            </w:pPr>
            <w:r>
              <w:rPr>
                <w:rFonts w:hint="eastAsia" w:cs="宋体"/>
                <w:b/>
                <w:bCs/>
                <w:sz w:val="28"/>
                <w:szCs w:val="28"/>
              </w:rPr>
              <w:t>联络人</w:t>
            </w:r>
          </w:p>
        </w:tc>
        <w:tc>
          <w:tcPr>
            <w:tcW w:w="1440" w:type="dxa"/>
            <w:vAlign w:val="center"/>
          </w:tcPr>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8990" w:type="dxa"/>
            <w:gridSpan w:val="6"/>
            <w:vAlign w:val="center"/>
          </w:tcPr>
          <w:p>
            <w:pPr>
              <w:spacing w:line="600" w:lineRule="auto"/>
              <w:rPr>
                <w:rFonts w:cs="Times New Roman"/>
                <w:b/>
                <w:bCs/>
                <w:sz w:val="28"/>
                <w:szCs w:val="28"/>
              </w:rPr>
            </w:pPr>
            <w:r>
              <w:rPr>
                <w:rFonts w:hint="eastAsia" w:cs="宋体"/>
                <w:b/>
                <w:bCs/>
                <w:sz w:val="28"/>
                <w:szCs w:val="28"/>
              </w:rPr>
              <w:t>主要问题：</w:t>
            </w:r>
          </w:p>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8990" w:type="dxa"/>
            <w:gridSpan w:val="6"/>
            <w:vAlign w:val="center"/>
          </w:tcPr>
          <w:p>
            <w:pPr>
              <w:spacing w:line="600" w:lineRule="auto"/>
              <w:rPr>
                <w:rFonts w:cs="Times New Roman"/>
                <w:b/>
                <w:bCs/>
                <w:sz w:val="28"/>
                <w:szCs w:val="28"/>
              </w:rPr>
            </w:pPr>
            <w:r>
              <w:rPr>
                <w:rFonts w:hint="eastAsia" w:cs="宋体"/>
                <w:b/>
                <w:bCs/>
                <w:sz w:val="28"/>
                <w:szCs w:val="28"/>
              </w:rPr>
              <w:t>工作目标：</w:t>
            </w:r>
          </w:p>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8990" w:type="dxa"/>
            <w:gridSpan w:val="6"/>
            <w:vAlign w:val="center"/>
          </w:tcPr>
          <w:p>
            <w:pPr>
              <w:spacing w:line="600" w:lineRule="auto"/>
              <w:rPr>
                <w:rFonts w:cs="Times New Roman"/>
                <w:b/>
                <w:bCs/>
                <w:sz w:val="28"/>
                <w:szCs w:val="28"/>
              </w:rPr>
            </w:pPr>
            <w:r>
              <w:rPr>
                <w:rFonts w:hint="eastAsia" w:cs="宋体"/>
                <w:b/>
                <w:bCs/>
                <w:sz w:val="28"/>
                <w:szCs w:val="28"/>
              </w:rPr>
              <w:t>工作内容：</w:t>
            </w:r>
          </w:p>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8990" w:type="dxa"/>
            <w:gridSpan w:val="6"/>
            <w:vAlign w:val="center"/>
          </w:tcPr>
          <w:p>
            <w:pPr>
              <w:spacing w:line="600" w:lineRule="auto"/>
              <w:rPr>
                <w:rFonts w:cs="Times New Roman"/>
                <w:b/>
                <w:bCs/>
                <w:sz w:val="28"/>
                <w:szCs w:val="28"/>
              </w:rPr>
            </w:pPr>
            <w:r>
              <w:rPr>
                <w:rFonts w:hint="eastAsia" w:cs="宋体"/>
                <w:b/>
                <w:bCs/>
                <w:sz w:val="28"/>
                <w:szCs w:val="28"/>
              </w:rPr>
              <w:t>工作步骤：</w:t>
            </w:r>
          </w:p>
          <w:p>
            <w:pPr>
              <w:spacing w:line="600" w:lineRule="auto"/>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8990" w:type="dxa"/>
            <w:gridSpan w:val="6"/>
            <w:vAlign w:val="center"/>
          </w:tcPr>
          <w:p>
            <w:pPr>
              <w:spacing w:line="600" w:lineRule="auto"/>
              <w:rPr>
                <w:rFonts w:cs="Times New Roman"/>
                <w:b/>
                <w:bCs/>
                <w:sz w:val="28"/>
                <w:szCs w:val="28"/>
              </w:rPr>
            </w:pPr>
            <w:r>
              <w:rPr>
                <w:rFonts w:hint="eastAsia" w:cs="宋体"/>
                <w:b/>
                <w:bCs/>
                <w:sz w:val="28"/>
                <w:szCs w:val="28"/>
              </w:rPr>
              <w:t>验收评估标准：</w:t>
            </w:r>
          </w:p>
          <w:p>
            <w:pPr>
              <w:spacing w:line="600" w:lineRule="auto"/>
              <w:rPr>
                <w:rFonts w:cs="Times New Roman"/>
                <w:b/>
                <w:bCs/>
                <w:sz w:val="28"/>
                <w:szCs w:val="28"/>
              </w:rPr>
            </w:pPr>
          </w:p>
        </w:tc>
      </w:tr>
    </w:tbl>
    <w:p>
      <w:pPr>
        <w:widowControl/>
        <w:jc w:val="left"/>
        <w:rPr>
          <w:rFonts w:cs="Times New Roman"/>
        </w:rPr>
      </w:pPr>
    </w:p>
    <w:p>
      <w:pPr>
        <w:jc w:val="both"/>
        <w:rPr>
          <w:rFonts w:cs="宋体"/>
          <w:b/>
          <w:bCs/>
          <w:sz w:val="32"/>
          <w:szCs w:val="32"/>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cs="宋体"/>
          <w:b/>
          <w:bCs/>
          <w:sz w:val="32"/>
          <w:szCs w:val="32"/>
        </w:rPr>
      </w:pPr>
      <w:r>
        <w:rPr>
          <w:rFonts w:hint="eastAsia" w:cs="宋体"/>
          <w:b/>
          <w:bCs/>
          <w:sz w:val="32"/>
          <w:szCs w:val="32"/>
        </w:rPr>
        <w:t>上海城建职业学院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cs="宋体"/>
          <w:b/>
          <w:bCs/>
          <w:sz w:val="32"/>
          <w:szCs w:val="32"/>
        </w:rPr>
      </w:pPr>
      <w:r>
        <w:rPr>
          <w:rFonts w:hint="eastAsia" w:cs="宋体"/>
          <w:b/>
          <w:bCs/>
          <w:sz w:val="32"/>
          <w:szCs w:val="32"/>
        </w:rPr>
        <w:t>落实党风廉政建设主体责任评议书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w:t>
      </w:r>
      <w:r>
        <w:rPr>
          <w:sz w:val="28"/>
          <w:szCs w:val="28"/>
        </w:rPr>
        <w:t xml:space="preserve">     </w:t>
      </w:r>
      <w:r>
        <w:rPr>
          <w:rFonts w:hint="eastAsia" w:cs="宋体"/>
          <w:sz w:val="28"/>
          <w:szCs w:val="28"/>
        </w:rPr>
        <w:t>年）</w:t>
      </w:r>
    </w:p>
    <w:tbl>
      <w:tblPr>
        <w:tblStyle w:val="8"/>
        <w:tblW w:w="86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06"/>
        <w:gridCol w:w="2111"/>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cPr>
          <w:p>
            <w:pPr>
              <w:widowControl/>
              <w:jc w:val="left"/>
              <w:rPr>
                <w:rFonts w:cs="Times New Roman"/>
                <w:b/>
                <w:bCs/>
                <w:sz w:val="28"/>
                <w:szCs w:val="28"/>
              </w:rPr>
            </w:pPr>
            <w:r>
              <w:rPr>
                <w:rFonts w:hint="eastAsia" w:cs="宋体"/>
                <w:b/>
                <w:bCs/>
                <w:sz w:val="28"/>
                <w:szCs w:val="28"/>
              </w:rPr>
              <w:t>姓名</w:t>
            </w:r>
          </w:p>
        </w:tc>
        <w:tc>
          <w:tcPr>
            <w:tcW w:w="2106" w:type="dxa"/>
          </w:tcPr>
          <w:p>
            <w:pPr>
              <w:widowControl/>
              <w:jc w:val="left"/>
              <w:rPr>
                <w:rFonts w:cs="Times New Roman"/>
                <w:b/>
                <w:bCs/>
                <w:sz w:val="28"/>
                <w:szCs w:val="28"/>
              </w:rPr>
            </w:pPr>
          </w:p>
        </w:tc>
        <w:tc>
          <w:tcPr>
            <w:tcW w:w="2111" w:type="dxa"/>
          </w:tcPr>
          <w:p>
            <w:pPr>
              <w:widowControl/>
              <w:jc w:val="left"/>
              <w:rPr>
                <w:rFonts w:cs="Times New Roman"/>
                <w:b/>
                <w:bCs/>
                <w:sz w:val="28"/>
                <w:szCs w:val="28"/>
              </w:rPr>
            </w:pPr>
            <w:r>
              <w:rPr>
                <w:rFonts w:hint="eastAsia" w:cs="宋体"/>
                <w:b/>
                <w:bCs/>
                <w:sz w:val="28"/>
                <w:szCs w:val="28"/>
              </w:rPr>
              <w:t>职务</w:t>
            </w:r>
          </w:p>
        </w:tc>
        <w:tc>
          <w:tcPr>
            <w:tcW w:w="2302" w:type="dxa"/>
          </w:tcPr>
          <w:p>
            <w:pPr>
              <w:widowControl/>
              <w:jc w:val="left"/>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9" w:type="dxa"/>
          </w:tcPr>
          <w:p>
            <w:pPr>
              <w:widowControl/>
              <w:jc w:val="left"/>
              <w:rPr>
                <w:rFonts w:cs="Times New Roman"/>
                <w:b/>
                <w:bCs/>
                <w:sz w:val="28"/>
                <w:szCs w:val="28"/>
              </w:rPr>
            </w:pPr>
            <w:r>
              <w:rPr>
                <w:rFonts w:hint="eastAsia" w:cs="宋体"/>
                <w:b/>
                <w:bCs/>
                <w:sz w:val="28"/>
                <w:szCs w:val="28"/>
              </w:rPr>
              <w:t>项目名称</w:t>
            </w:r>
          </w:p>
        </w:tc>
        <w:tc>
          <w:tcPr>
            <w:tcW w:w="6519" w:type="dxa"/>
            <w:gridSpan w:val="3"/>
          </w:tcPr>
          <w:p>
            <w:pPr>
              <w:widowControl/>
              <w:jc w:val="left"/>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8628" w:type="dxa"/>
            <w:gridSpan w:val="4"/>
          </w:tcPr>
          <w:p>
            <w:pPr>
              <w:widowControl/>
              <w:jc w:val="left"/>
              <w:rPr>
                <w:rFonts w:cs="Times New Roman"/>
                <w:b/>
                <w:bCs/>
                <w:sz w:val="28"/>
                <w:szCs w:val="28"/>
              </w:rPr>
            </w:pPr>
            <w:r>
              <w:rPr>
                <w:rFonts w:hint="eastAsia" w:cs="宋体"/>
                <w:b/>
                <w:bCs/>
                <w:sz w:val="28"/>
                <w:szCs w:val="28"/>
              </w:rPr>
              <w:t>完成情况：</w:t>
            </w:r>
          </w:p>
          <w:p>
            <w:pPr>
              <w:widowControl/>
              <w:jc w:val="left"/>
              <w:rPr>
                <w:rFonts w:cs="Times New Roman"/>
                <w:b/>
                <w:bCs/>
                <w:sz w:val="28"/>
                <w:szCs w:val="28"/>
              </w:rPr>
            </w:pPr>
          </w:p>
          <w:p>
            <w:pPr>
              <w:widowControl/>
              <w:jc w:val="left"/>
              <w:rPr>
                <w:rFonts w:cs="Times New Roman"/>
                <w:b/>
                <w:bCs/>
                <w:sz w:val="28"/>
                <w:szCs w:val="28"/>
              </w:rPr>
            </w:pPr>
          </w:p>
          <w:p>
            <w:pPr>
              <w:widowControl/>
              <w:jc w:val="left"/>
              <w:rPr>
                <w:rFonts w:cs="Times New Roman"/>
                <w:b/>
                <w:bCs/>
                <w:sz w:val="28"/>
                <w:szCs w:val="28"/>
              </w:rPr>
            </w:pPr>
          </w:p>
          <w:p>
            <w:pPr>
              <w:widowControl/>
              <w:jc w:val="left"/>
              <w:rPr>
                <w:rFonts w:cs="Times New Roman"/>
                <w:b/>
                <w:bCs/>
                <w:sz w:val="28"/>
                <w:szCs w:val="28"/>
              </w:rPr>
            </w:pPr>
          </w:p>
          <w:p>
            <w:pPr>
              <w:widowControl/>
              <w:jc w:val="left"/>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8628" w:type="dxa"/>
            <w:gridSpan w:val="4"/>
          </w:tcPr>
          <w:p>
            <w:pPr>
              <w:widowControl/>
              <w:jc w:val="left"/>
              <w:rPr>
                <w:rFonts w:cs="Times New Roman"/>
                <w:b/>
                <w:bCs/>
                <w:sz w:val="28"/>
                <w:szCs w:val="28"/>
              </w:rPr>
            </w:pPr>
            <w:r>
              <w:rPr>
                <w:rFonts w:hint="eastAsia" w:cs="宋体"/>
                <w:b/>
                <w:bCs/>
                <w:sz w:val="28"/>
                <w:szCs w:val="28"/>
              </w:rPr>
              <w:t>自我评价：</w:t>
            </w:r>
          </w:p>
          <w:p>
            <w:pPr>
              <w:widowControl/>
              <w:jc w:val="left"/>
              <w:rPr>
                <w:rFonts w:cs="Times New Roman"/>
                <w:b/>
                <w:bCs/>
                <w:sz w:val="28"/>
                <w:szCs w:val="28"/>
              </w:rPr>
            </w:pPr>
          </w:p>
          <w:p>
            <w:pPr>
              <w:widowControl/>
              <w:jc w:val="left"/>
              <w:rPr>
                <w:rFonts w:cs="Times New Roman"/>
                <w:b/>
                <w:bCs/>
                <w:sz w:val="28"/>
                <w:szCs w:val="28"/>
              </w:rPr>
            </w:pPr>
          </w:p>
          <w:p>
            <w:pPr>
              <w:widowControl/>
              <w:jc w:val="left"/>
              <w:rPr>
                <w:rFonts w:cs="Times New Roman"/>
                <w:b/>
                <w:bCs/>
                <w:sz w:val="28"/>
                <w:szCs w:val="28"/>
              </w:rPr>
            </w:pPr>
          </w:p>
          <w:p>
            <w:pPr>
              <w:widowControl/>
              <w:jc w:val="left"/>
              <w:rPr>
                <w:rFonts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4" w:hRule="atLeast"/>
        </w:trPr>
        <w:tc>
          <w:tcPr>
            <w:tcW w:w="8628" w:type="dxa"/>
            <w:gridSpan w:val="4"/>
          </w:tcPr>
          <w:p>
            <w:pPr>
              <w:widowControl/>
              <w:jc w:val="left"/>
              <w:rPr>
                <w:rFonts w:cs="Times New Roman"/>
                <w:b/>
                <w:bCs/>
                <w:sz w:val="28"/>
                <w:szCs w:val="28"/>
              </w:rPr>
            </w:pPr>
            <w:r>
              <w:rPr>
                <w:rFonts w:hint="eastAsia" w:cs="宋体"/>
                <w:b/>
                <w:bCs/>
                <w:sz w:val="28"/>
                <w:szCs w:val="28"/>
              </w:rPr>
              <w:t>党委评议：</w:t>
            </w:r>
          </w:p>
          <w:p>
            <w:pPr>
              <w:widowControl/>
              <w:jc w:val="left"/>
              <w:rPr>
                <w:rFonts w:cs="Times New Roman"/>
                <w:b/>
                <w:bCs/>
                <w:sz w:val="28"/>
                <w:szCs w:val="28"/>
              </w:rPr>
            </w:pPr>
          </w:p>
          <w:p>
            <w:pPr>
              <w:widowControl/>
              <w:jc w:val="left"/>
              <w:rPr>
                <w:rFonts w:cs="Times New Roman"/>
                <w:b/>
                <w:bCs/>
                <w:sz w:val="28"/>
                <w:szCs w:val="28"/>
              </w:rPr>
            </w:pPr>
          </w:p>
          <w:p>
            <w:pPr>
              <w:widowControl/>
              <w:jc w:val="left"/>
              <w:rPr>
                <w:rFonts w:cs="Times New Roman"/>
                <w:b/>
                <w:bCs/>
                <w:sz w:val="28"/>
                <w:szCs w:val="28"/>
              </w:rPr>
            </w:pP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Segoe UI Symbol">
    <w:panose1 w:val="020B0502040204020203"/>
    <w:charset w:val="00"/>
    <w:family w:val="auto"/>
    <w:pitch w:val="default"/>
    <w:sig w:usb0="8000006F" w:usb1="1200FBEF" w:usb2="0004C000" w:usb3="00000000" w:csb0="00000001" w:csb1="4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4</w:t>
                </w:r>
                <w: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3FDE"/>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F47420"/>
    <w:rsid w:val="021B7E32"/>
    <w:rsid w:val="023D36AA"/>
    <w:rsid w:val="02815237"/>
    <w:rsid w:val="028A397C"/>
    <w:rsid w:val="032D0062"/>
    <w:rsid w:val="03594B63"/>
    <w:rsid w:val="0381434D"/>
    <w:rsid w:val="03983D84"/>
    <w:rsid w:val="03DA5EA2"/>
    <w:rsid w:val="03EE6D29"/>
    <w:rsid w:val="03FD146B"/>
    <w:rsid w:val="047F1391"/>
    <w:rsid w:val="04C07575"/>
    <w:rsid w:val="04D77ED9"/>
    <w:rsid w:val="04FA2C53"/>
    <w:rsid w:val="052C5163"/>
    <w:rsid w:val="054A101E"/>
    <w:rsid w:val="05894A16"/>
    <w:rsid w:val="06382E0C"/>
    <w:rsid w:val="06921FCB"/>
    <w:rsid w:val="071F5DED"/>
    <w:rsid w:val="07326077"/>
    <w:rsid w:val="076611BB"/>
    <w:rsid w:val="077965D0"/>
    <w:rsid w:val="07AA19E0"/>
    <w:rsid w:val="07C31C06"/>
    <w:rsid w:val="07C42E96"/>
    <w:rsid w:val="07E41C68"/>
    <w:rsid w:val="07F901A3"/>
    <w:rsid w:val="08240922"/>
    <w:rsid w:val="08CB0EDB"/>
    <w:rsid w:val="0A752838"/>
    <w:rsid w:val="0AC52A5D"/>
    <w:rsid w:val="0ADA2418"/>
    <w:rsid w:val="0AFB6211"/>
    <w:rsid w:val="0B05375F"/>
    <w:rsid w:val="0B1D15C1"/>
    <w:rsid w:val="0B62559C"/>
    <w:rsid w:val="0B94010F"/>
    <w:rsid w:val="0BA70DFB"/>
    <w:rsid w:val="0BB534C5"/>
    <w:rsid w:val="0C1D6D66"/>
    <w:rsid w:val="0C453E4B"/>
    <w:rsid w:val="0D395FE5"/>
    <w:rsid w:val="0D5C6B89"/>
    <w:rsid w:val="0DE71FD0"/>
    <w:rsid w:val="0E2B0566"/>
    <w:rsid w:val="0E606E89"/>
    <w:rsid w:val="0E737DD3"/>
    <w:rsid w:val="0E8320D8"/>
    <w:rsid w:val="0E8C5DA8"/>
    <w:rsid w:val="0E953ED9"/>
    <w:rsid w:val="0E9A7A68"/>
    <w:rsid w:val="0EE009CF"/>
    <w:rsid w:val="0EE4275E"/>
    <w:rsid w:val="0F3522BD"/>
    <w:rsid w:val="0F98337A"/>
    <w:rsid w:val="0FD30983"/>
    <w:rsid w:val="0FF06DC0"/>
    <w:rsid w:val="10632D44"/>
    <w:rsid w:val="108E6E48"/>
    <w:rsid w:val="108F4FE6"/>
    <w:rsid w:val="10EF10C7"/>
    <w:rsid w:val="10F35BDA"/>
    <w:rsid w:val="11375A5D"/>
    <w:rsid w:val="119C51F0"/>
    <w:rsid w:val="12A545E5"/>
    <w:rsid w:val="12DA6ADD"/>
    <w:rsid w:val="136B4782"/>
    <w:rsid w:val="136D70DB"/>
    <w:rsid w:val="13825DA1"/>
    <w:rsid w:val="138F2BD8"/>
    <w:rsid w:val="139A32B7"/>
    <w:rsid w:val="139F0CB6"/>
    <w:rsid w:val="13A1015D"/>
    <w:rsid w:val="13D455A1"/>
    <w:rsid w:val="13E45227"/>
    <w:rsid w:val="141C258C"/>
    <w:rsid w:val="143C7C5A"/>
    <w:rsid w:val="14526875"/>
    <w:rsid w:val="148C4235"/>
    <w:rsid w:val="14A41357"/>
    <w:rsid w:val="14AC2B6E"/>
    <w:rsid w:val="14B51B45"/>
    <w:rsid w:val="14FA553E"/>
    <w:rsid w:val="157A62A4"/>
    <w:rsid w:val="15B361F3"/>
    <w:rsid w:val="16167AC5"/>
    <w:rsid w:val="1678050D"/>
    <w:rsid w:val="175D5642"/>
    <w:rsid w:val="178E2BAE"/>
    <w:rsid w:val="17B50682"/>
    <w:rsid w:val="17DC3982"/>
    <w:rsid w:val="18CD00AA"/>
    <w:rsid w:val="191108A0"/>
    <w:rsid w:val="195219B2"/>
    <w:rsid w:val="1A17583F"/>
    <w:rsid w:val="1A677B62"/>
    <w:rsid w:val="1A68299B"/>
    <w:rsid w:val="1A9A3F87"/>
    <w:rsid w:val="1AD564FE"/>
    <w:rsid w:val="1AE94B2B"/>
    <w:rsid w:val="1AFA6B79"/>
    <w:rsid w:val="1C5658FD"/>
    <w:rsid w:val="1CF06E04"/>
    <w:rsid w:val="1D1424DE"/>
    <w:rsid w:val="1D867789"/>
    <w:rsid w:val="1D9B2AED"/>
    <w:rsid w:val="1DE35F7A"/>
    <w:rsid w:val="1E495B3F"/>
    <w:rsid w:val="1F683A64"/>
    <w:rsid w:val="1F754B05"/>
    <w:rsid w:val="1F8E333A"/>
    <w:rsid w:val="1FA72FE8"/>
    <w:rsid w:val="1FDC7F0D"/>
    <w:rsid w:val="1FDE5CD7"/>
    <w:rsid w:val="201B2C0A"/>
    <w:rsid w:val="20225398"/>
    <w:rsid w:val="20615D5D"/>
    <w:rsid w:val="2148113D"/>
    <w:rsid w:val="218E29E1"/>
    <w:rsid w:val="219C6F57"/>
    <w:rsid w:val="22000394"/>
    <w:rsid w:val="220364DA"/>
    <w:rsid w:val="222E7A46"/>
    <w:rsid w:val="225F08FF"/>
    <w:rsid w:val="226064FA"/>
    <w:rsid w:val="22A76036"/>
    <w:rsid w:val="22E028E0"/>
    <w:rsid w:val="23B33E7F"/>
    <w:rsid w:val="23C41A0C"/>
    <w:rsid w:val="23E85B22"/>
    <w:rsid w:val="23F36556"/>
    <w:rsid w:val="23FA1004"/>
    <w:rsid w:val="246D3EB6"/>
    <w:rsid w:val="2483502B"/>
    <w:rsid w:val="24A465B7"/>
    <w:rsid w:val="24A60E2E"/>
    <w:rsid w:val="25034BD2"/>
    <w:rsid w:val="252B03CE"/>
    <w:rsid w:val="258C56B5"/>
    <w:rsid w:val="25C06807"/>
    <w:rsid w:val="25CB5C91"/>
    <w:rsid w:val="263E3A39"/>
    <w:rsid w:val="26497A01"/>
    <w:rsid w:val="2651394E"/>
    <w:rsid w:val="27150B40"/>
    <w:rsid w:val="274241CA"/>
    <w:rsid w:val="27756136"/>
    <w:rsid w:val="2799658F"/>
    <w:rsid w:val="279A3DB9"/>
    <w:rsid w:val="285B6726"/>
    <w:rsid w:val="288C323B"/>
    <w:rsid w:val="28AD1E0C"/>
    <w:rsid w:val="28E412A3"/>
    <w:rsid w:val="29980CC4"/>
    <w:rsid w:val="29F82DEE"/>
    <w:rsid w:val="2A63466D"/>
    <w:rsid w:val="2ACF7A73"/>
    <w:rsid w:val="2B165D98"/>
    <w:rsid w:val="2BAC1A53"/>
    <w:rsid w:val="2BD85DFB"/>
    <w:rsid w:val="2BE00775"/>
    <w:rsid w:val="2BE51355"/>
    <w:rsid w:val="2C9B7B17"/>
    <w:rsid w:val="2D0D3555"/>
    <w:rsid w:val="2D3453E6"/>
    <w:rsid w:val="2DAB225C"/>
    <w:rsid w:val="2DFF3273"/>
    <w:rsid w:val="2E540E20"/>
    <w:rsid w:val="2E8203DE"/>
    <w:rsid w:val="2EA8397E"/>
    <w:rsid w:val="2EEB598D"/>
    <w:rsid w:val="2F453D27"/>
    <w:rsid w:val="2F551FDA"/>
    <w:rsid w:val="2F62105C"/>
    <w:rsid w:val="2F916DEE"/>
    <w:rsid w:val="2FDC7DF5"/>
    <w:rsid w:val="303D6ECD"/>
    <w:rsid w:val="307F6459"/>
    <w:rsid w:val="30B144E2"/>
    <w:rsid w:val="30F47B23"/>
    <w:rsid w:val="311C2761"/>
    <w:rsid w:val="312476D6"/>
    <w:rsid w:val="31471E68"/>
    <w:rsid w:val="31645C96"/>
    <w:rsid w:val="31BC7D7C"/>
    <w:rsid w:val="31C13891"/>
    <w:rsid w:val="31EC1674"/>
    <w:rsid w:val="322A5027"/>
    <w:rsid w:val="32855FF9"/>
    <w:rsid w:val="33631793"/>
    <w:rsid w:val="33C64ACD"/>
    <w:rsid w:val="33FB1398"/>
    <w:rsid w:val="3418397F"/>
    <w:rsid w:val="343A090E"/>
    <w:rsid w:val="34580C5A"/>
    <w:rsid w:val="34685C6A"/>
    <w:rsid w:val="349C2792"/>
    <w:rsid w:val="34BA0FA5"/>
    <w:rsid w:val="34BE4DBC"/>
    <w:rsid w:val="35063740"/>
    <w:rsid w:val="35334378"/>
    <w:rsid w:val="35610897"/>
    <w:rsid w:val="358B34EA"/>
    <w:rsid w:val="359907F1"/>
    <w:rsid w:val="35BF2E1D"/>
    <w:rsid w:val="35C40763"/>
    <w:rsid w:val="363A7F70"/>
    <w:rsid w:val="36812F2F"/>
    <w:rsid w:val="36E606AB"/>
    <w:rsid w:val="37126E47"/>
    <w:rsid w:val="37494C6F"/>
    <w:rsid w:val="37724A5B"/>
    <w:rsid w:val="37837B33"/>
    <w:rsid w:val="37973842"/>
    <w:rsid w:val="37EC4E9A"/>
    <w:rsid w:val="37FE7081"/>
    <w:rsid w:val="38CD024D"/>
    <w:rsid w:val="38DF665C"/>
    <w:rsid w:val="38F27825"/>
    <w:rsid w:val="390372E3"/>
    <w:rsid w:val="39BC167C"/>
    <w:rsid w:val="39D76D3E"/>
    <w:rsid w:val="3A9777F8"/>
    <w:rsid w:val="3A9D00D0"/>
    <w:rsid w:val="3AAA686D"/>
    <w:rsid w:val="3AB3086B"/>
    <w:rsid w:val="3ACE3BD4"/>
    <w:rsid w:val="3B4905D5"/>
    <w:rsid w:val="3B5A1CAD"/>
    <w:rsid w:val="3B6E4D07"/>
    <w:rsid w:val="3C0E7D33"/>
    <w:rsid w:val="3C72341E"/>
    <w:rsid w:val="3CB829D8"/>
    <w:rsid w:val="3CEC6BBC"/>
    <w:rsid w:val="3CF27896"/>
    <w:rsid w:val="3D542C2D"/>
    <w:rsid w:val="3D631DD6"/>
    <w:rsid w:val="3D984771"/>
    <w:rsid w:val="3E2F6239"/>
    <w:rsid w:val="3E3A4F5E"/>
    <w:rsid w:val="3E9B4946"/>
    <w:rsid w:val="3F073319"/>
    <w:rsid w:val="3F3260C4"/>
    <w:rsid w:val="3F58194A"/>
    <w:rsid w:val="3F694089"/>
    <w:rsid w:val="3FBE36BD"/>
    <w:rsid w:val="40200A3B"/>
    <w:rsid w:val="40585CA4"/>
    <w:rsid w:val="407350D0"/>
    <w:rsid w:val="40995D6C"/>
    <w:rsid w:val="409A703A"/>
    <w:rsid w:val="40AA7725"/>
    <w:rsid w:val="40BA35FF"/>
    <w:rsid w:val="415E095B"/>
    <w:rsid w:val="41723728"/>
    <w:rsid w:val="418658B3"/>
    <w:rsid w:val="41C80AE8"/>
    <w:rsid w:val="42022894"/>
    <w:rsid w:val="420A711C"/>
    <w:rsid w:val="42201DAF"/>
    <w:rsid w:val="423B3B37"/>
    <w:rsid w:val="43022E6F"/>
    <w:rsid w:val="432425C4"/>
    <w:rsid w:val="43A7080B"/>
    <w:rsid w:val="43C705C3"/>
    <w:rsid w:val="43E7015F"/>
    <w:rsid w:val="43F7081D"/>
    <w:rsid w:val="44662A3F"/>
    <w:rsid w:val="44997BA8"/>
    <w:rsid w:val="44B015AC"/>
    <w:rsid w:val="44F97E73"/>
    <w:rsid w:val="45BD7FD6"/>
    <w:rsid w:val="46094568"/>
    <w:rsid w:val="46487748"/>
    <w:rsid w:val="467812DA"/>
    <w:rsid w:val="46D31BB0"/>
    <w:rsid w:val="472738A1"/>
    <w:rsid w:val="473B642E"/>
    <w:rsid w:val="47795DF3"/>
    <w:rsid w:val="47B169BC"/>
    <w:rsid w:val="47F74FB4"/>
    <w:rsid w:val="481C6063"/>
    <w:rsid w:val="48841653"/>
    <w:rsid w:val="48C23E3F"/>
    <w:rsid w:val="48F205B5"/>
    <w:rsid w:val="4914400F"/>
    <w:rsid w:val="49D1292A"/>
    <w:rsid w:val="49D60905"/>
    <w:rsid w:val="4A0150EF"/>
    <w:rsid w:val="4A360C6B"/>
    <w:rsid w:val="4AA02672"/>
    <w:rsid w:val="4B282EDB"/>
    <w:rsid w:val="4B3C6D49"/>
    <w:rsid w:val="4B947CD0"/>
    <w:rsid w:val="4BB236E8"/>
    <w:rsid w:val="4C32254D"/>
    <w:rsid w:val="4C335681"/>
    <w:rsid w:val="4C341B48"/>
    <w:rsid w:val="4C3469B1"/>
    <w:rsid w:val="4C550079"/>
    <w:rsid w:val="4CA75477"/>
    <w:rsid w:val="4CD948B8"/>
    <w:rsid w:val="4CFE4E1D"/>
    <w:rsid w:val="4E1F64AD"/>
    <w:rsid w:val="4E2311BA"/>
    <w:rsid w:val="4E3F4910"/>
    <w:rsid w:val="4E562F07"/>
    <w:rsid w:val="4EAE51B3"/>
    <w:rsid w:val="4EB545DE"/>
    <w:rsid w:val="4EB878B4"/>
    <w:rsid w:val="4EDB5E77"/>
    <w:rsid w:val="4F45646D"/>
    <w:rsid w:val="4FD93B76"/>
    <w:rsid w:val="502923E4"/>
    <w:rsid w:val="507539FB"/>
    <w:rsid w:val="50A04648"/>
    <w:rsid w:val="510A4ED3"/>
    <w:rsid w:val="516C07E8"/>
    <w:rsid w:val="51CA1CB7"/>
    <w:rsid w:val="5251406E"/>
    <w:rsid w:val="52B7327F"/>
    <w:rsid w:val="52C751B8"/>
    <w:rsid w:val="530E5DB7"/>
    <w:rsid w:val="538454B7"/>
    <w:rsid w:val="53DE29D5"/>
    <w:rsid w:val="540B1A57"/>
    <w:rsid w:val="541B1537"/>
    <w:rsid w:val="543800E2"/>
    <w:rsid w:val="54445502"/>
    <w:rsid w:val="54CE4217"/>
    <w:rsid w:val="553365EA"/>
    <w:rsid w:val="553A1C1B"/>
    <w:rsid w:val="554937EC"/>
    <w:rsid w:val="559230ED"/>
    <w:rsid w:val="55BA3B4E"/>
    <w:rsid w:val="55CC1950"/>
    <w:rsid w:val="55F356D3"/>
    <w:rsid w:val="562A11A1"/>
    <w:rsid w:val="563A5F30"/>
    <w:rsid w:val="56512E0D"/>
    <w:rsid w:val="565910C2"/>
    <w:rsid w:val="566158F5"/>
    <w:rsid w:val="5686330B"/>
    <w:rsid w:val="57DE7D68"/>
    <w:rsid w:val="583A7D5C"/>
    <w:rsid w:val="589372CC"/>
    <w:rsid w:val="58A47562"/>
    <w:rsid w:val="58EA2218"/>
    <w:rsid w:val="591615FD"/>
    <w:rsid w:val="59E97BC6"/>
    <w:rsid w:val="5A1F54E5"/>
    <w:rsid w:val="5A901163"/>
    <w:rsid w:val="5ACF40EF"/>
    <w:rsid w:val="5B1C6635"/>
    <w:rsid w:val="5B1D6F21"/>
    <w:rsid w:val="5B9E3CCB"/>
    <w:rsid w:val="5C4E5323"/>
    <w:rsid w:val="5C695D2C"/>
    <w:rsid w:val="5C7F5AA9"/>
    <w:rsid w:val="5C800265"/>
    <w:rsid w:val="5C9F4D62"/>
    <w:rsid w:val="5CED5B78"/>
    <w:rsid w:val="5CF94249"/>
    <w:rsid w:val="5E015A54"/>
    <w:rsid w:val="5E5F39FA"/>
    <w:rsid w:val="5E6B56BF"/>
    <w:rsid w:val="5E782B7F"/>
    <w:rsid w:val="5EC426B9"/>
    <w:rsid w:val="5F144E7D"/>
    <w:rsid w:val="5F1D0D6C"/>
    <w:rsid w:val="5F977EF1"/>
    <w:rsid w:val="5FFF24C0"/>
    <w:rsid w:val="60177312"/>
    <w:rsid w:val="601A3C56"/>
    <w:rsid w:val="603531BC"/>
    <w:rsid w:val="60451634"/>
    <w:rsid w:val="605470D3"/>
    <w:rsid w:val="60D26F7C"/>
    <w:rsid w:val="60D41B36"/>
    <w:rsid w:val="60F22B30"/>
    <w:rsid w:val="617B7DF4"/>
    <w:rsid w:val="61D36CC1"/>
    <w:rsid w:val="61F66190"/>
    <w:rsid w:val="61FF2117"/>
    <w:rsid w:val="620B1A76"/>
    <w:rsid w:val="624372B5"/>
    <w:rsid w:val="625533EE"/>
    <w:rsid w:val="62870DBB"/>
    <w:rsid w:val="629A0643"/>
    <w:rsid w:val="62BA5D60"/>
    <w:rsid w:val="630F66DC"/>
    <w:rsid w:val="63720A25"/>
    <w:rsid w:val="63DB1FD6"/>
    <w:rsid w:val="64120042"/>
    <w:rsid w:val="64133A3F"/>
    <w:rsid w:val="64A2726F"/>
    <w:rsid w:val="64BE6036"/>
    <w:rsid w:val="64CE27F0"/>
    <w:rsid w:val="64ED694F"/>
    <w:rsid w:val="652B4BB6"/>
    <w:rsid w:val="659209DC"/>
    <w:rsid w:val="65943265"/>
    <w:rsid w:val="659D39AF"/>
    <w:rsid w:val="65F508CB"/>
    <w:rsid w:val="668B7F77"/>
    <w:rsid w:val="66CE5E36"/>
    <w:rsid w:val="66D703A8"/>
    <w:rsid w:val="66DA429B"/>
    <w:rsid w:val="66E935E0"/>
    <w:rsid w:val="66FB6FFE"/>
    <w:rsid w:val="670D2957"/>
    <w:rsid w:val="678C0108"/>
    <w:rsid w:val="679C7788"/>
    <w:rsid w:val="686864EE"/>
    <w:rsid w:val="68933FE6"/>
    <w:rsid w:val="68B222BB"/>
    <w:rsid w:val="692557D0"/>
    <w:rsid w:val="69377C97"/>
    <w:rsid w:val="696B60FB"/>
    <w:rsid w:val="69820E87"/>
    <w:rsid w:val="69BE29A9"/>
    <w:rsid w:val="6A1660EB"/>
    <w:rsid w:val="6A1D7F9F"/>
    <w:rsid w:val="6A2D445E"/>
    <w:rsid w:val="6A644257"/>
    <w:rsid w:val="6ABD0471"/>
    <w:rsid w:val="6AF372A7"/>
    <w:rsid w:val="6B157F74"/>
    <w:rsid w:val="6B2113A7"/>
    <w:rsid w:val="6B7A4CD0"/>
    <w:rsid w:val="6BB8468E"/>
    <w:rsid w:val="6BC70D51"/>
    <w:rsid w:val="6BF419AB"/>
    <w:rsid w:val="6C045C51"/>
    <w:rsid w:val="6C2D6285"/>
    <w:rsid w:val="6C3B6809"/>
    <w:rsid w:val="6C541422"/>
    <w:rsid w:val="6CF06B33"/>
    <w:rsid w:val="6CF61BC9"/>
    <w:rsid w:val="6D1438E2"/>
    <w:rsid w:val="6D5E1725"/>
    <w:rsid w:val="6D66337C"/>
    <w:rsid w:val="6D7417E8"/>
    <w:rsid w:val="6DC63DB5"/>
    <w:rsid w:val="6E1A67A0"/>
    <w:rsid w:val="6E241860"/>
    <w:rsid w:val="6E332401"/>
    <w:rsid w:val="6E701D37"/>
    <w:rsid w:val="6F117F27"/>
    <w:rsid w:val="6F5644D4"/>
    <w:rsid w:val="6F647BAB"/>
    <w:rsid w:val="6FA77A7E"/>
    <w:rsid w:val="6FBB0A5D"/>
    <w:rsid w:val="6FC4134D"/>
    <w:rsid w:val="6FD370A5"/>
    <w:rsid w:val="6FEF1D2C"/>
    <w:rsid w:val="70313F1E"/>
    <w:rsid w:val="70A2129A"/>
    <w:rsid w:val="70D83BDB"/>
    <w:rsid w:val="70ED3844"/>
    <w:rsid w:val="70EE63B6"/>
    <w:rsid w:val="70F23F07"/>
    <w:rsid w:val="70FB6157"/>
    <w:rsid w:val="719D6342"/>
    <w:rsid w:val="71B73EF7"/>
    <w:rsid w:val="72201C9F"/>
    <w:rsid w:val="722C4FDE"/>
    <w:rsid w:val="7261075A"/>
    <w:rsid w:val="728A695D"/>
    <w:rsid w:val="72940B17"/>
    <w:rsid w:val="72941855"/>
    <w:rsid w:val="72A047D9"/>
    <w:rsid w:val="72B82DFB"/>
    <w:rsid w:val="72C46F5E"/>
    <w:rsid w:val="730C5A4A"/>
    <w:rsid w:val="732C29FC"/>
    <w:rsid w:val="732E33A8"/>
    <w:rsid w:val="7376305E"/>
    <w:rsid w:val="73EA118C"/>
    <w:rsid w:val="755F37EE"/>
    <w:rsid w:val="757C420E"/>
    <w:rsid w:val="75AF4220"/>
    <w:rsid w:val="76204EBA"/>
    <w:rsid w:val="76AF34BD"/>
    <w:rsid w:val="76DA0089"/>
    <w:rsid w:val="770F44F9"/>
    <w:rsid w:val="776E4171"/>
    <w:rsid w:val="778E3AC9"/>
    <w:rsid w:val="779264DC"/>
    <w:rsid w:val="77AD4184"/>
    <w:rsid w:val="77DC5524"/>
    <w:rsid w:val="77EB319B"/>
    <w:rsid w:val="77F7163C"/>
    <w:rsid w:val="78341C6B"/>
    <w:rsid w:val="784F65EB"/>
    <w:rsid w:val="788171D4"/>
    <w:rsid w:val="79834DE6"/>
    <w:rsid w:val="79EB086D"/>
    <w:rsid w:val="7A661B12"/>
    <w:rsid w:val="7A857CB5"/>
    <w:rsid w:val="7AC8690F"/>
    <w:rsid w:val="7ADD3514"/>
    <w:rsid w:val="7AED7D10"/>
    <w:rsid w:val="7B044E81"/>
    <w:rsid w:val="7B0C6614"/>
    <w:rsid w:val="7B317DD3"/>
    <w:rsid w:val="7B4269E8"/>
    <w:rsid w:val="7B4351AE"/>
    <w:rsid w:val="7B991E7C"/>
    <w:rsid w:val="7BCE578D"/>
    <w:rsid w:val="7CA25E12"/>
    <w:rsid w:val="7CD523B4"/>
    <w:rsid w:val="7CF17122"/>
    <w:rsid w:val="7CFE13EC"/>
    <w:rsid w:val="7D1959A7"/>
    <w:rsid w:val="7D19734A"/>
    <w:rsid w:val="7D2C2AE8"/>
    <w:rsid w:val="7D4067CF"/>
    <w:rsid w:val="7D9805C5"/>
    <w:rsid w:val="7DB36C93"/>
    <w:rsid w:val="7DBE6603"/>
    <w:rsid w:val="7E2F7FF6"/>
    <w:rsid w:val="7E4C7A5D"/>
    <w:rsid w:val="7E5F5798"/>
    <w:rsid w:val="7E667533"/>
    <w:rsid w:val="7E9E2967"/>
    <w:rsid w:val="7EB54EA8"/>
    <w:rsid w:val="7EB57E9E"/>
    <w:rsid w:val="7EBC530E"/>
    <w:rsid w:val="7EF34A0B"/>
    <w:rsid w:val="7F2F0BB8"/>
    <w:rsid w:val="7FF46D8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link w:val="3"/>
    <w:semiHidden/>
    <w:qFormat/>
    <w:uiPriority w:val="99"/>
    <w:rPr>
      <w:sz w:val="18"/>
      <w:szCs w:val="18"/>
    </w:rPr>
  </w:style>
  <w:style w:type="character" w:customStyle="1" w:styleId="11">
    <w:name w:val="页眉 Char"/>
    <w:link w:val="4"/>
    <w:semiHidden/>
    <w:qFormat/>
    <w:uiPriority w:val="99"/>
    <w:rPr>
      <w:sz w:val="18"/>
      <w:szCs w:val="18"/>
    </w:rPr>
  </w:style>
  <w:style w:type="character" w:customStyle="1" w:styleId="12">
    <w:name w:val="批注框文本 Char"/>
    <w:link w:val="2"/>
    <w:semiHidden/>
    <w:qFormat/>
    <w:uiPriority w:val="99"/>
    <w:rPr>
      <w:sz w:val="0"/>
      <w:szCs w:val="0"/>
    </w:rPr>
  </w:style>
  <w:style w:type="paragraph" w:customStyle="1" w:styleId="13">
    <w:name w:val="列出段落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2017-03-17T04:07:00Z</cp:lastPrinted>
  <dcterms:modified xsi:type="dcterms:W3CDTF">2017-06-14T07:10:50Z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