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71B" w:rsidRPr="00064502" w:rsidRDefault="0066271B" w:rsidP="00FC77C0">
      <w:pPr>
        <w:pStyle w:val="4"/>
        <w:spacing w:line="400" w:lineRule="exact"/>
        <w:jc w:val="center"/>
        <w:rPr>
          <w:rFonts w:asciiTheme="minorEastAsia" w:eastAsiaTheme="minorEastAsia" w:hAnsiTheme="minorEastAsia"/>
          <w:b w:val="0"/>
          <w:sz w:val="32"/>
          <w:szCs w:val="32"/>
        </w:rPr>
      </w:pPr>
      <w:bookmarkStart w:id="0" w:name="_Toc501614705"/>
      <w:bookmarkStart w:id="1" w:name="_GoBack"/>
      <w:r w:rsidRPr="00064502">
        <w:rPr>
          <w:rFonts w:asciiTheme="minorEastAsia" w:eastAsiaTheme="minorEastAsia" w:hAnsiTheme="minorEastAsia" w:hint="eastAsia"/>
          <w:b w:val="0"/>
          <w:color w:val="auto"/>
          <w:sz w:val="32"/>
          <w:szCs w:val="32"/>
        </w:rPr>
        <w:t>开展国际交流合作，促进专业内涵建设</w:t>
      </w:r>
      <w:bookmarkEnd w:id="0"/>
      <w:bookmarkEnd w:id="1"/>
    </w:p>
    <w:p w:rsidR="0066271B" w:rsidRPr="00FC77C0" w:rsidRDefault="0066271B" w:rsidP="00FC77C0">
      <w:pPr>
        <w:spacing w:line="400" w:lineRule="exact"/>
        <w:ind w:firstLineChars="200" w:firstLine="480"/>
        <w:rPr>
          <w:rFonts w:asciiTheme="majorEastAsia" w:eastAsiaTheme="majorEastAsia" w:hAnsiTheme="majorEastAsia"/>
          <w:sz w:val="24"/>
        </w:rPr>
      </w:pPr>
      <w:r w:rsidRPr="00FC77C0">
        <w:rPr>
          <w:rFonts w:asciiTheme="majorEastAsia" w:eastAsiaTheme="majorEastAsia" w:hAnsiTheme="majorEastAsia" w:hint="eastAsia"/>
          <w:sz w:val="24"/>
        </w:rPr>
        <w:t>食品营养与检测专业深化专业发展，积极与行业国际水平企业合作，促进专业内涵建设，先后与光明乳业、I</w:t>
      </w:r>
      <w:r w:rsidRPr="00FC77C0">
        <w:rPr>
          <w:rFonts w:asciiTheme="majorEastAsia" w:eastAsiaTheme="majorEastAsia" w:hAnsiTheme="majorEastAsia"/>
          <w:sz w:val="24"/>
        </w:rPr>
        <w:t>ntertek天祥集团</w:t>
      </w:r>
      <w:r w:rsidRPr="00FC77C0">
        <w:rPr>
          <w:rFonts w:asciiTheme="majorEastAsia" w:eastAsiaTheme="majorEastAsia" w:hAnsiTheme="majorEastAsia" w:hint="eastAsia"/>
          <w:sz w:val="24"/>
        </w:rPr>
        <w:t>、</w:t>
      </w:r>
      <w:r w:rsidRPr="00FC77C0">
        <w:rPr>
          <w:rFonts w:asciiTheme="majorEastAsia" w:eastAsiaTheme="majorEastAsia" w:hAnsiTheme="majorEastAsia"/>
          <w:sz w:val="24"/>
        </w:rPr>
        <w:t>TUV南德意志集团</w:t>
      </w:r>
      <w:r w:rsidRPr="00FC77C0">
        <w:rPr>
          <w:rFonts w:asciiTheme="majorEastAsia" w:eastAsiaTheme="majorEastAsia" w:hAnsiTheme="majorEastAsia" w:hint="eastAsia"/>
          <w:sz w:val="24"/>
        </w:rPr>
        <w:t>等开展检测技术、职业标准和项目合作等。</w:t>
      </w:r>
    </w:p>
    <w:p w:rsidR="0066271B" w:rsidRPr="00FC77C0" w:rsidRDefault="0066271B" w:rsidP="00FC77C0">
      <w:pPr>
        <w:spacing w:line="400" w:lineRule="exact"/>
        <w:ind w:firstLineChars="200" w:firstLine="480"/>
        <w:rPr>
          <w:rFonts w:asciiTheme="majorEastAsia" w:eastAsiaTheme="majorEastAsia" w:hAnsiTheme="majorEastAsia"/>
          <w:sz w:val="24"/>
        </w:rPr>
      </w:pPr>
      <w:r w:rsidRPr="00FC77C0">
        <w:rPr>
          <w:rFonts w:asciiTheme="majorEastAsia" w:eastAsiaTheme="majorEastAsia" w:hAnsiTheme="majorEastAsia" w:hint="eastAsia"/>
          <w:sz w:val="24"/>
        </w:rPr>
        <w:t>光明乳业是中国领先的高端乳品引领者、国际先进制造水平的代表者，光明乳业在新西兰和以色列分别建有合资工厂，上海建有目前世界单体规模最大的乳品生产中心。专业与光明乳业建有密切的校企合作关系，连续实施多届定向合作培养，光明乳业实习就业岗位对应专业核心技能，专业对口率100%，定向班学生实习毕业留用率75%，为校企合作中就业最稳定的。光明乳业实施国际先进的生产和管理技术，国际质量专家参与生产管理，学生和教师在光明乳业实践实习，能够学习到国际先进制造和管理水平的职业技术，光明乳业提供补助资助学生考取国际先进水平职业资格，学生职业资格参考率和获取率分别达到了98%和85%，良好的职业发展也吸引非定向班同学，目前光明乳业专业学生有上百人，很多学生成为企业技术骨干。同时双方依托光明乳业新西兰公司联合引进先进国际职业标准和技术，共建乳品检测实训室，共建生产实训中心，建设高质量实训基地。</w:t>
      </w:r>
    </w:p>
    <w:p w:rsidR="0066271B" w:rsidRPr="00FC77C0" w:rsidRDefault="0066271B" w:rsidP="00FC77C0">
      <w:pPr>
        <w:spacing w:line="400" w:lineRule="exact"/>
        <w:ind w:firstLineChars="200" w:firstLine="480"/>
        <w:rPr>
          <w:rFonts w:asciiTheme="majorEastAsia" w:eastAsiaTheme="majorEastAsia" w:hAnsiTheme="majorEastAsia"/>
          <w:sz w:val="24"/>
        </w:rPr>
      </w:pPr>
      <w:r w:rsidRPr="00FC77C0">
        <w:rPr>
          <w:rFonts w:asciiTheme="majorEastAsia" w:eastAsiaTheme="majorEastAsia" w:hAnsiTheme="majorEastAsia"/>
          <w:sz w:val="24"/>
        </w:rPr>
        <w:t>Intertek是全球领先的全面质量保障服务机构，</w:t>
      </w:r>
      <w:r w:rsidRPr="00FC77C0">
        <w:rPr>
          <w:rFonts w:asciiTheme="majorEastAsia" w:eastAsiaTheme="majorEastAsia" w:hAnsiTheme="majorEastAsia" w:hint="eastAsia"/>
          <w:sz w:val="24"/>
        </w:rPr>
        <w:t>公司</w:t>
      </w:r>
      <w:r w:rsidRPr="00FC77C0">
        <w:rPr>
          <w:rFonts w:asciiTheme="majorEastAsia" w:eastAsiaTheme="majorEastAsia" w:hAnsiTheme="majorEastAsia"/>
          <w:sz w:val="24"/>
        </w:rPr>
        <w:t>以超越传统的质量控制手段，</w:t>
      </w:r>
      <w:r w:rsidRPr="00FC77C0">
        <w:rPr>
          <w:rFonts w:asciiTheme="majorEastAsia" w:eastAsiaTheme="majorEastAsia" w:hAnsiTheme="majorEastAsia" w:hint="eastAsia"/>
          <w:sz w:val="24"/>
        </w:rPr>
        <w:t>提供</w:t>
      </w:r>
      <w:r w:rsidRPr="00FC77C0">
        <w:rPr>
          <w:rFonts w:asciiTheme="majorEastAsia" w:eastAsiaTheme="majorEastAsia" w:hAnsiTheme="majorEastAsia"/>
          <w:sz w:val="24"/>
        </w:rPr>
        <w:t>创新和定制的保障、测试、检验和认证解决方案</w:t>
      </w:r>
      <w:r w:rsidRPr="00FC77C0">
        <w:rPr>
          <w:rFonts w:asciiTheme="majorEastAsia" w:eastAsiaTheme="majorEastAsia" w:hAnsiTheme="majorEastAsia" w:hint="eastAsia"/>
          <w:sz w:val="24"/>
        </w:rPr>
        <w:t>。专业与上海天祥质量技术服务有限公司合作，在课程建设、师生实习和社会服务方面进行合作。课程建设方面，引进企业先进管理和检测技术，融进课程教学实践，并请企业骨干担任课程教师；师生实习方面，安排教师和学生在检验检测、体系审核和创新研发等部门学习，极大促进了专业师生的职业技能；社会服务方面，共同实施行业体系审核和评价，在天祥质量技术专家的带领下，参与体系审核和评价，在实践中学习和应用国际先进管理体系。</w:t>
      </w:r>
    </w:p>
    <w:p w:rsidR="0066271B" w:rsidRPr="00FC77C0" w:rsidRDefault="00FC77C0" w:rsidP="00FC77C0">
      <w:pPr>
        <w:spacing w:line="400" w:lineRule="exact"/>
        <w:ind w:firstLineChars="200" w:firstLine="480"/>
        <w:rPr>
          <w:rFonts w:asciiTheme="majorEastAsia" w:eastAsiaTheme="majorEastAsia" w:hAnsiTheme="majorEastAsia"/>
          <w:sz w:val="24"/>
        </w:rPr>
      </w:pPr>
      <w:r>
        <w:rPr>
          <w:rFonts w:ascii="宋体" w:hAnsi="宋体" w:cs="宋体"/>
          <w:noProof/>
          <w:kern w:val="0"/>
          <w:sz w:val="24"/>
        </w:rPr>
        <w:drawing>
          <wp:anchor distT="0" distB="0" distL="114300" distR="114300" simplePos="0" relativeHeight="251658240" behindDoc="0" locked="0" layoutInCell="1" allowOverlap="1" wp14:anchorId="4158501B" wp14:editId="7405EF6D">
            <wp:simplePos x="0" y="0"/>
            <wp:positionH relativeFrom="margin">
              <wp:posOffset>3093085</wp:posOffset>
            </wp:positionH>
            <wp:positionV relativeFrom="margin">
              <wp:posOffset>6419850</wp:posOffset>
            </wp:positionV>
            <wp:extent cx="2676525" cy="1786255"/>
            <wp:effectExtent l="0" t="0" r="9525" b="4445"/>
            <wp:wrapSquare wrapText="bothSides"/>
            <wp:docPr id="1" name="图片 1" descr="说明: E:\工会管理职业学院\校企合作\影像记录\2015.1.7光明定向班开班仪式\IMG_34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E:\工会管理职业学院\校企合作\影像记录\2015.1.7光明定向班开班仪式\IMG_347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6525" cy="1786255"/>
                    </a:xfrm>
                    <a:prstGeom prst="rect">
                      <a:avLst/>
                    </a:prstGeom>
                    <a:noFill/>
                    <a:ln>
                      <a:noFill/>
                    </a:ln>
                  </pic:spPr>
                </pic:pic>
              </a:graphicData>
            </a:graphic>
          </wp:anchor>
        </w:drawing>
      </w:r>
      <w:r w:rsidR="0066271B" w:rsidRPr="00FC77C0">
        <w:rPr>
          <w:rFonts w:asciiTheme="majorEastAsia" w:eastAsiaTheme="majorEastAsia" w:hAnsiTheme="majorEastAsia"/>
          <w:sz w:val="24"/>
        </w:rPr>
        <w:t>TÜV南德意志集团凭借世界级的服务及领先的德国技术享誉全球</w:t>
      </w:r>
      <w:r w:rsidR="0066271B" w:rsidRPr="00FC77C0">
        <w:rPr>
          <w:rFonts w:asciiTheme="majorEastAsia" w:eastAsiaTheme="majorEastAsia" w:hAnsiTheme="majorEastAsia" w:hint="eastAsia"/>
          <w:sz w:val="24"/>
        </w:rPr>
        <w:t>，</w:t>
      </w:r>
      <w:r w:rsidR="0066271B" w:rsidRPr="00FC77C0">
        <w:rPr>
          <w:rFonts w:asciiTheme="majorEastAsia" w:eastAsiaTheme="majorEastAsia" w:hAnsiTheme="majorEastAsia"/>
          <w:sz w:val="24"/>
        </w:rPr>
        <w:t>服务范围覆盖认证、测试、检验、资讯及专家指导等多个领域。</w:t>
      </w:r>
      <w:r w:rsidR="0066271B" w:rsidRPr="00FC77C0">
        <w:rPr>
          <w:rFonts w:asciiTheme="majorEastAsia" w:eastAsiaTheme="majorEastAsia" w:hAnsiTheme="majorEastAsia" w:hint="eastAsia"/>
          <w:sz w:val="24"/>
        </w:rPr>
        <w:t>专业与</w:t>
      </w:r>
      <w:r w:rsidR="0066271B" w:rsidRPr="00FC77C0">
        <w:rPr>
          <w:rFonts w:asciiTheme="majorEastAsia" w:eastAsiaTheme="majorEastAsia" w:hAnsiTheme="majorEastAsia"/>
          <w:sz w:val="24"/>
        </w:rPr>
        <w:t>南德意志集团</w:t>
      </w:r>
      <w:r w:rsidR="0066271B" w:rsidRPr="00FC77C0">
        <w:rPr>
          <w:rFonts w:asciiTheme="majorEastAsia" w:eastAsiaTheme="majorEastAsia" w:hAnsiTheme="majorEastAsia" w:hint="eastAsia"/>
          <w:sz w:val="24"/>
        </w:rPr>
        <w:t>上海分公司</w:t>
      </w:r>
      <w:r w:rsidR="0066271B" w:rsidRPr="00FC77C0">
        <w:rPr>
          <w:rFonts w:asciiTheme="majorEastAsia" w:eastAsiaTheme="majorEastAsia" w:hAnsiTheme="majorEastAsia"/>
          <w:sz w:val="24"/>
        </w:rPr>
        <w:t>健康美护产品</w:t>
      </w:r>
      <w:r w:rsidR="0066271B" w:rsidRPr="00FC77C0">
        <w:rPr>
          <w:rFonts w:asciiTheme="majorEastAsia" w:eastAsiaTheme="majorEastAsia" w:hAnsiTheme="majorEastAsia" w:hint="eastAsia"/>
          <w:sz w:val="24"/>
        </w:rPr>
        <w:t>部门合作，在师生实习和技术合作等方面进行合作。师生实习方面，安排教师和学生在</w:t>
      </w:r>
      <w:r w:rsidR="0066271B" w:rsidRPr="00FC77C0">
        <w:rPr>
          <w:rFonts w:asciiTheme="majorEastAsia" w:eastAsiaTheme="majorEastAsia" w:hAnsiTheme="majorEastAsia"/>
          <w:sz w:val="24"/>
        </w:rPr>
        <w:t>健康美护产品</w:t>
      </w:r>
      <w:r w:rsidR="0066271B" w:rsidRPr="00FC77C0">
        <w:rPr>
          <w:rFonts w:asciiTheme="majorEastAsia" w:eastAsiaTheme="majorEastAsia" w:hAnsiTheme="majorEastAsia" w:hint="eastAsia"/>
          <w:sz w:val="24"/>
        </w:rPr>
        <w:t>部门实践学习，学习世界先进水平的检测和认证体系，极大促进了专业师生国际化职业技能；技术合作方面，围绕产品的检验检测标准，共同研究产品种类、产品涉及国家和地区等方面的规定和要求，共同为学校教学和企业生产检验服务。</w:t>
      </w:r>
    </w:p>
    <w:p w:rsidR="0066271B" w:rsidRPr="00FC77C0" w:rsidRDefault="00FC77C0" w:rsidP="00FC77C0">
      <w:pPr>
        <w:spacing w:line="400" w:lineRule="exact"/>
        <w:ind w:firstLineChars="200" w:firstLine="422"/>
        <w:jc w:val="center"/>
        <w:rPr>
          <w:rFonts w:ascii="宋体" w:hAnsi="宋体"/>
          <w:b/>
          <w:szCs w:val="21"/>
        </w:rPr>
      </w:pPr>
      <w:r>
        <w:rPr>
          <w:rFonts w:ascii="宋体" w:hAnsi="宋体" w:hint="eastAsia"/>
          <w:b/>
          <w:szCs w:val="21"/>
        </w:rPr>
        <w:t xml:space="preserve">                      </w:t>
      </w:r>
      <w:r w:rsidRPr="00FC77C0">
        <w:rPr>
          <w:rFonts w:ascii="宋体" w:hAnsi="宋体" w:hint="eastAsia"/>
          <w:b/>
          <w:szCs w:val="21"/>
        </w:rPr>
        <w:t>图</w:t>
      </w:r>
    </w:p>
    <w:p w:rsidR="00FC77C0" w:rsidRDefault="00FC77C0" w:rsidP="0066271B">
      <w:pPr>
        <w:spacing w:line="360" w:lineRule="auto"/>
        <w:ind w:firstLineChars="200" w:firstLine="480"/>
        <w:jc w:val="center"/>
        <w:rPr>
          <w:rFonts w:ascii="宋体" w:hAnsi="宋体"/>
          <w:sz w:val="24"/>
        </w:rPr>
      </w:pPr>
    </w:p>
    <w:sectPr w:rsidR="00FC77C0" w:rsidSect="00FC77C0">
      <w:pgSz w:w="11906" w:h="16838" w:code="9"/>
      <w:pgMar w:top="1418" w:right="1134" w:bottom="1418" w:left="1701" w:header="851" w:footer="113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BB9" w:rsidRDefault="00C40BB9" w:rsidP="00FC77C0">
      <w:r>
        <w:separator/>
      </w:r>
    </w:p>
  </w:endnote>
  <w:endnote w:type="continuationSeparator" w:id="0">
    <w:p w:rsidR="00C40BB9" w:rsidRDefault="00C40BB9" w:rsidP="00FC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BB9" w:rsidRDefault="00C40BB9" w:rsidP="00FC77C0">
      <w:r>
        <w:separator/>
      </w:r>
    </w:p>
  </w:footnote>
  <w:footnote w:type="continuationSeparator" w:id="0">
    <w:p w:rsidR="00C40BB9" w:rsidRDefault="00C40BB9" w:rsidP="00FC77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71B"/>
    <w:rsid w:val="00064502"/>
    <w:rsid w:val="001950DA"/>
    <w:rsid w:val="005709F8"/>
    <w:rsid w:val="0066271B"/>
    <w:rsid w:val="0076728B"/>
    <w:rsid w:val="00C40BB9"/>
    <w:rsid w:val="00CA1712"/>
    <w:rsid w:val="00FC7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71B"/>
    <w:pPr>
      <w:widowControl w:val="0"/>
      <w:jc w:val="both"/>
    </w:pPr>
    <w:rPr>
      <w:rFonts w:ascii="Calibri" w:eastAsia="宋体" w:hAnsi="Calibri" w:cs="Times New Roman"/>
      <w:szCs w:val="24"/>
    </w:rPr>
  </w:style>
  <w:style w:type="paragraph" w:styleId="4">
    <w:name w:val="heading 4"/>
    <w:basedOn w:val="a"/>
    <w:next w:val="a"/>
    <w:link w:val="4Char"/>
    <w:qFormat/>
    <w:rsid w:val="0066271B"/>
    <w:pPr>
      <w:widowControl/>
      <w:spacing w:before="100" w:beforeAutospacing="1" w:after="100" w:afterAutospacing="1"/>
      <w:jc w:val="left"/>
      <w:outlineLvl w:val="3"/>
    </w:pPr>
    <w:rPr>
      <w:rFonts w:ascii="宋体" w:eastAsia="仿宋" w:hAnsi="宋体" w:cs="宋体"/>
      <w:b/>
      <w:bCs/>
      <w:color w:val="0070C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rsid w:val="0066271B"/>
    <w:rPr>
      <w:rFonts w:ascii="宋体" w:eastAsia="仿宋" w:hAnsi="宋体" w:cs="宋体"/>
      <w:b/>
      <w:bCs/>
      <w:color w:val="0070C0"/>
      <w:kern w:val="0"/>
      <w:sz w:val="28"/>
      <w:szCs w:val="24"/>
    </w:rPr>
  </w:style>
  <w:style w:type="paragraph" w:customStyle="1" w:styleId="L">
    <w:name w:val="L 图表标题"/>
    <w:basedOn w:val="a"/>
    <w:link w:val="LChar"/>
    <w:qFormat/>
    <w:rsid w:val="0066271B"/>
    <w:pPr>
      <w:widowControl/>
      <w:spacing w:line="360" w:lineRule="auto"/>
      <w:jc w:val="center"/>
    </w:pPr>
    <w:rPr>
      <w:rFonts w:ascii="Times New Roman" w:eastAsia="仿宋" w:hAnsi="Times New Roman"/>
      <w:b/>
      <w:color w:val="0F6FC6"/>
      <w:kern w:val="0"/>
      <w:sz w:val="28"/>
    </w:rPr>
  </w:style>
  <w:style w:type="character" w:customStyle="1" w:styleId="LChar">
    <w:name w:val="L 图表标题 Char"/>
    <w:link w:val="L"/>
    <w:qFormat/>
    <w:rsid w:val="0066271B"/>
    <w:rPr>
      <w:rFonts w:ascii="Times New Roman" w:eastAsia="仿宋" w:hAnsi="Times New Roman" w:cs="Times New Roman"/>
      <w:b/>
      <w:color w:val="0F6FC6"/>
      <w:kern w:val="0"/>
      <w:sz w:val="28"/>
      <w:szCs w:val="24"/>
    </w:rPr>
  </w:style>
  <w:style w:type="paragraph" w:styleId="a3">
    <w:name w:val="header"/>
    <w:basedOn w:val="a"/>
    <w:link w:val="Char"/>
    <w:uiPriority w:val="99"/>
    <w:unhideWhenUsed/>
    <w:rsid w:val="00FC77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77C0"/>
    <w:rPr>
      <w:rFonts w:ascii="Calibri" w:eastAsia="宋体" w:hAnsi="Calibri" w:cs="Times New Roman"/>
      <w:sz w:val="18"/>
      <w:szCs w:val="18"/>
    </w:rPr>
  </w:style>
  <w:style w:type="paragraph" w:styleId="a4">
    <w:name w:val="footer"/>
    <w:basedOn w:val="a"/>
    <w:link w:val="Char0"/>
    <w:uiPriority w:val="99"/>
    <w:unhideWhenUsed/>
    <w:rsid w:val="00FC77C0"/>
    <w:pPr>
      <w:tabs>
        <w:tab w:val="center" w:pos="4153"/>
        <w:tab w:val="right" w:pos="8306"/>
      </w:tabs>
      <w:snapToGrid w:val="0"/>
      <w:jc w:val="left"/>
    </w:pPr>
    <w:rPr>
      <w:sz w:val="18"/>
      <w:szCs w:val="18"/>
    </w:rPr>
  </w:style>
  <w:style w:type="character" w:customStyle="1" w:styleId="Char0">
    <w:name w:val="页脚 Char"/>
    <w:basedOn w:val="a0"/>
    <w:link w:val="a4"/>
    <w:uiPriority w:val="99"/>
    <w:rsid w:val="00FC77C0"/>
    <w:rPr>
      <w:rFonts w:ascii="Calibri" w:eastAsia="宋体" w:hAnsi="Calibri" w:cs="Times New Roman"/>
      <w:sz w:val="18"/>
      <w:szCs w:val="18"/>
    </w:rPr>
  </w:style>
  <w:style w:type="paragraph" w:styleId="a5">
    <w:name w:val="Balloon Text"/>
    <w:basedOn w:val="a"/>
    <w:link w:val="Char1"/>
    <w:uiPriority w:val="99"/>
    <w:semiHidden/>
    <w:unhideWhenUsed/>
    <w:rsid w:val="00FC77C0"/>
    <w:rPr>
      <w:sz w:val="18"/>
      <w:szCs w:val="18"/>
    </w:rPr>
  </w:style>
  <w:style w:type="character" w:customStyle="1" w:styleId="Char1">
    <w:name w:val="批注框文本 Char"/>
    <w:basedOn w:val="a0"/>
    <w:link w:val="a5"/>
    <w:uiPriority w:val="99"/>
    <w:semiHidden/>
    <w:rsid w:val="00FC77C0"/>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71B"/>
    <w:pPr>
      <w:widowControl w:val="0"/>
      <w:jc w:val="both"/>
    </w:pPr>
    <w:rPr>
      <w:rFonts w:ascii="Calibri" w:eastAsia="宋体" w:hAnsi="Calibri" w:cs="Times New Roman"/>
      <w:szCs w:val="24"/>
    </w:rPr>
  </w:style>
  <w:style w:type="paragraph" w:styleId="4">
    <w:name w:val="heading 4"/>
    <w:basedOn w:val="a"/>
    <w:next w:val="a"/>
    <w:link w:val="4Char"/>
    <w:qFormat/>
    <w:rsid w:val="0066271B"/>
    <w:pPr>
      <w:widowControl/>
      <w:spacing w:before="100" w:beforeAutospacing="1" w:after="100" w:afterAutospacing="1"/>
      <w:jc w:val="left"/>
      <w:outlineLvl w:val="3"/>
    </w:pPr>
    <w:rPr>
      <w:rFonts w:ascii="宋体" w:eastAsia="仿宋" w:hAnsi="宋体" w:cs="宋体"/>
      <w:b/>
      <w:bCs/>
      <w:color w:val="0070C0"/>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rsid w:val="0066271B"/>
    <w:rPr>
      <w:rFonts w:ascii="宋体" w:eastAsia="仿宋" w:hAnsi="宋体" w:cs="宋体"/>
      <w:b/>
      <w:bCs/>
      <w:color w:val="0070C0"/>
      <w:kern w:val="0"/>
      <w:sz w:val="28"/>
      <w:szCs w:val="24"/>
    </w:rPr>
  </w:style>
  <w:style w:type="paragraph" w:customStyle="1" w:styleId="L">
    <w:name w:val="L 图表标题"/>
    <w:basedOn w:val="a"/>
    <w:link w:val="LChar"/>
    <w:qFormat/>
    <w:rsid w:val="0066271B"/>
    <w:pPr>
      <w:widowControl/>
      <w:spacing w:line="360" w:lineRule="auto"/>
      <w:jc w:val="center"/>
    </w:pPr>
    <w:rPr>
      <w:rFonts w:ascii="Times New Roman" w:eastAsia="仿宋" w:hAnsi="Times New Roman"/>
      <w:b/>
      <w:color w:val="0F6FC6"/>
      <w:kern w:val="0"/>
      <w:sz w:val="28"/>
    </w:rPr>
  </w:style>
  <w:style w:type="character" w:customStyle="1" w:styleId="LChar">
    <w:name w:val="L 图表标题 Char"/>
    <w:link w:val="L"/>
    <w:qFormat/>
    <w:rsid w:val="0066271B"/>
    <w:rPr>
      <w:rFonts w:ascii="Times New Roman" w:eastAsia="仿宋" w:hAnsi="Times New Roman" w:cs="Times New Roman"/>
      <w:b/>
      <w:color w:val="0F6FC6"/>
      <w:kern w:val="0"/>
      <w:sz w:val="28"/>
      <w:szCs w:val="24"/>
    </w:rPr>
  </w:style>
  <w:style w:type="paragraph" w:styleId="a3">
    <w:name w:val="header"/>
    <w:basedOn w:val="a"/>
    <w:link w:val="Char"/>
    <w:uiPriority w:val="99"/>
    <w:unhideWhenUsed/>
    <w:rsid w:val="00FC77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77C0"/>
    <w:rPr>
      <w:rFonts w:ascii="Calibri" w:eastAsia="宋体" w:hAnsi="Calibri" w:cs="Times New Roman"/>
      <w:sz w:val="18"/>
      <w:szCs w:val="18"/>
    </w:rPr>
  </w:style>
  <w:style w:type="paragraph" w:styleId="a4">
    <w:name w:val="footer"/>
    <w:basedOn w:val="a"/>
    <w:link w:val="Char0"/>
    <w:uiPriority w:val="99"/>
    <w:unhideWhenUsed/>
    <w:rsid w:val="00FC77C0"/>
    <w:pPr>
      <w:tabs>
        <w:tab w:val="center" w:pos="4153"/>
        <w:tab w:val="right" w:pos="8306"/>
      </w:tabs>
      <w:snapToGrid w:val="0"/>
      <w:jc w:val="left"/>
    </w:pPr>
    <w:rPr>
      <w:sz w:val="18"/>
      <w:szCs w:val="18"/>
    </w:rPr>
  </w:style>
  <w:style w:type="character" w:customStyle="1" w:styleId="Char0">
    <w:name w:val="页脚 Char"/>
    <w:basedOn w:val="a0"/>
    <w:link w:val="a4"/>
    <w:uiPriority w:val="99"/>
    <w:rsid w:val="00FC77C0"/>
    <w:rPr>
      <w:rFonts w:ascii="Calibri" w:eastAsia="宋体" w:hAnsi="Calibri" w:cs="Times New Roman"/>
      <w:sz w:val="18"/>
      <w:szCs w:val="18"/>
    </w:rPr>
  </w:style>
  <w:style w:type="paragraph" w:styleId="a5">
    <w:name w:val="Balloon Text"/>
    <w:basedOn w:val="a"/>
    <w:link w:val="Char1"/>
    <w:uiPriority w:val="99"/>
    <w:semiHidden/>
    <w:unhideWhenUsed/>
    <w:rsid w:val="00FC77C0"/>
    <w:rPr>
      <w:sz w:val="18"/>
      <w:szCs w:val="18"/>
    </w:rPr>
  </w:style>
  <w:style w:type="character" w:customStyle="1" w:styleId="Char1">
    <w:name w:val="批注框文本 Char"/>
    <w:basedOn w:val="a0"/>
    <w:link w:val="a5"/>
    <w:uiPriority w:val="99"/>
    <w:semiHidden/>
    <w:rsid w:val="00FC77C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qingqing</dc:creator>
  <cp:lastModifiedBy>qingqing</cp:lastModifiedBy>
  <cp:revision>6</cp:revision>
  <dcterms:created xsi:type="dcterms:W3CDTF">2018-01-03T05:49:00Z</dcterms:created>
  <dcterms:modified xsi:type="dcterms:W3CDTF">2018-01-04T02:03:00Z</dcterms:modified>
</cp:coreProperties>
</file>