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40" w:lineRule="atLeast"/>
        <w:ind w:firstLine="420" w:firstLineChars="200"/>
        <w:rPr>
          <w:rFonts w:cs="黑体" w:asciiTheme="minorEastAsia" w:hAnsiTheme="minorEastAsia"/>
          <w:szCs w:val="21"/>
        </w:rPr>
      </w:pPr>
      <w:r>
        <w:rPr>
          <w:rFonts w:hint="eastAsia" w:cs="黑体" w:asciiTheme="minorEastAsia" w:hAnsiTheme="minorEastAsia"/>
          <w:szCs w:val="21"/>
        </w:rPr>
        <w:t>【“中国系列”课程：《中国城事》建设】</w:t>
      </w:r>
    </w:p>
    <w:p>
      <w:pPr>
        <w:adjustRightInd w:val="0"/>
        <w:snapToGrid w:val="0"/>
        <w:spacing w:line="340" w:lineRule="atLeast"/>
        <w:ind w:firstLine="640" w:firstLineChars="200"/>
        <w:jc w:val="center"/>
        <w:rPr>
          <w:rFonts w:ascii="黑体" w:hAnsi="黑体" w:eastAsia="黑体" w:cstheme="minorEastAsia"/>
          <w:sz w:val="32"/>
          <w:szCs w:val="32"/>
        </w:rPr>
      </w:pPr>
      <w:bookmarkStart w:id="0" w:name="_GoBack"/>
      <w:r>
        <w:rPr>
          <w:rFonts w:hint="eastAsia" w:ascii="黑体" w:hAnsi="黑体" w:eastAsia="黑体" w:cstheme="minorEastAsia"/>
          <w:sz w:val="32"/>
          <w:szCs w:val="32"/>
        </w:rPr>
        <w:t xml:space="preserve">社会化德育 </w:t>
      </w:r>
      <w:r>
        <w:rPr>
          <w:rFonts w:ascii="黑体" w:hAnsi="黑体" w:eastAsia="黑体" w:cstheme="minorEastAsia"/>
          <w:sz w:val="32"/>
          <w:szCs w:val="32"/>
        </w:rPr>
        <w:t xml:space="preserve"> </w:t>
      </w:r>
      <w:r>
        <w:rPr>
          <w:rFonts w:hint="eastAsia" w:ascii="黑体" w:hAnsi="黑体" w:eastAsia="黑体" w:cstheme="minorEastAsia"/>
          <w:sz w:val="32"/>
          <w:szCs w:val="32"/>
        </w:rPr>
        <w:t>多样化载体</w:t>
      </w:r>
    </w:p>
    <w:p>
      <w:pPr>
        <w:adjustRightInd w:val="0"/>
        <w:snapToGrid w:val="0"/>
        <w:spacing w:line="340" w:lineRule="atLeast"/>
        <w:ind w:firstLine="640" w:firstLineChars="200"/>
        <w:jc w:val="center"/>
        <w:rPr>
          <w:rFonts w:ascii="黑体" w:hAnsi="黑体" w:eastAsia="黑体" w:cstheme="minorEastAsia"/>
          <w:sz w:val="32"/>
          <w:szCs w:val="32"/>
        </w:rPr>
      </w:pPr>
      <w:r>
        <w:rPr>
          <w:rFonts w:hint="eastAsia" w:ascii="黑体" w:hAnsi="黑体" w:eastAsia="黑体" w:cstheme="minorEastAsia"/>
          <w:sz w:val="32"/>
          <w:szCs w:val="32"/>
        </w:rPr>
        <w:t>——创设德育范式的当代特色</w:t>
      </w:r>
    </w:p>
    <w:bookmarkEnd w:id="0"/>
    <w:p>
      <w:pPr>
        <w:adjustRightInd w:val="0"/>
        <w:snapToGrid w:val="0"/>
        <w:spacing w:line="340" w:lineRule="atLeas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（城市发展研究中心   课程负责人：张炜）</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前言</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上海城建职业学院，作为上海目前规模最大的高职院校，根据《中共上海市委 上海市人民政府关于进一步加强和改进新形势下高校思想政治工作的实施意见》（沪委发〔2017〕9号）文件精神，以及《上海市文教结合工作三年行动计划（</w:t>
      </w:r>
      <w:r>
        <w:rPr>
          <w:rFonts w:asciiTheme="minorEastAsia" w:hAnsiTheme="minorEastAsia" w:cstheme="minorEastAsia"/>
          <w:szCs w:val="21"/>
        </w:rPr>
        <w:t>2016</w:t>
      </w:r>
      <w:r>
        <w:rPr>
          <w:rFonts w:hint="eastAsia" w:asciiTheme="minorEastAsia" w:hAnsiTheme="minorEastAsia" w:cstheme="minorEastAsia"/>
          <w:szCs w:val="21"/>
        </w:rPr>
        <w:t>-</w:t>
      </w:r>
      <w:r>
        <w:rPr>
          <w:rFonts w:asciiTheme="minorEastAsia" w:hAnsiTheme="minorEastAsia" w:cstheme="minorEastAsia"/>
          <w:szCs w:val="21"/>
        </w:rPr>
        <w:t>2018</w:t>
      </w:r>
      <w:r>
        <w:rPr>
          <w:rFonts w:hint="eastAsia" w:asciiTheme="minorEastAsia" w:hAnsiTheme="minorEastAsia" w:cstheme="minorEastAsia"/>
          <w:szCs w:val="21"/>
        </w:rPr>
        <w:t>年）》《上海市教育综合改革方案（2014-2020年）》《上海现代职业教育体系建设规划（2015-2030年）》等战略驱动下的高职教育形势要求，担负着</w:t>
      </w:r>
      <w:r>
        <w:rPr>
          <w:rFonts w:asciiTheme="minorEastAsia" w:hAnsiTheme="minorEastAsia" w:cstheme="minorEastAsia"/>
          <w:szCs w:val="21"/>
        </w:rPr>
        <w:t>围绕城市建设、管理、服务的高职人才培养目标</w:t>
      </w:r>
      <w:r>
        <w:rPr>
          <w:rFonts w:hint="eastAsia" w:asciiTheme="minorEastAsia" w:hAnsiTheme="minorEastAsia" w:cstheme="minorEastAsia"/>
          <w:szCs w:val="21"/>
        </w:rPr>
        <w:t>与产学研合作的科教规划蓝图。在服务上海、服务长三角、服务全中国的人才培育理念下，如何定义超大城市高职学院的内涵式发展？如何构建大数据城市时代的教育体系建设与健全人格培养的基本策略？如何对应高职教育必须全面着力于</w:t>
      </w:r>
      <w:r>
        <w:rPr>
          <w:rFonts w:asciiTheme="minorEastAsia" w:hAnsiTheme="minorEastAsia" w:cstheme="minorEastAsia"/>
          <w:szCs w:val="21"/>
        </w:rPr>
        <w:t>社会需求、就业促进、培训服务、科学研究</w:t>
      </w:r>
      <w:r>
        <w:rPr>
          <w:rFonts w:hint="eastAsia" w:asciiTheme="minorEastAsia" w:hAnsiTheme="minorEastAsia" w:cstheme="minorEastAsia"/>
          <w:szCs w:val="21"/>
        </w:rPr>
        <w:t>的四大发展使命？本课程缘此理由开发，通过讲述精彩纷呈的城市故事，让诸位学子能跟随城市专家的思想步伐，积极感受中国城市的发展规律、中国城市的文脉内涵，努力造就未来职场人生的璀璨远景。</w:t>
      </w:r>
    </w:p>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一、建设背景</w:t>
      </w:r>
    </w:p>
    <w:p>
      <w:pPr>
        <w:adjustRightInd w:val="0"/>
        <w:snapToGrid w:val="0"/>
        <w:spacing w:line="340" w:lineRule="atLeast"/>
        <w:ind w:firstLine="420" w:firstLineChars="200"/>
        <w:rPr>
          <w:rFonts w:asciiTheme="minorEastAsia" w:hAnsiTheme="minorEastAsia"/>
          <w:szCs w:val="21"/>
        </w:rPr>
      </w:pPr>
      <w:r>
        <w:rPr>
          <w:rFonts w:hint="eastAsia" w:asciiTheme="minorEastAsia" w:hAnsiTheme="minorEastAsia"/>
          <w:szCs w:val="21"/>
        </w:rPr>
        <w:t>上海，作为协同引领长三角城市群发展的节点城市龙头，自</w:t>
      </w:r>
      <w:r>
        <w:rPr>
          <w:rFonts w:asciiTheme="minorEastAsia" w:hAnsiTheme="minorEastAsia"/>
          <w:szCs w:val="21"/>
        </w:rPr>
        <w:t>春秋战国时期楚国春申君黄歇的封邑</w:t>
      </w:r>
      <w:r>
        <w:rPr>
          <w:rFonts w:hint="eastAsia" w:asciiTheme="minorEastAsia" w:hAnsiTheme="minorEastAsia"/>
          <w:szCs w:val="21"/>
        </w:rPr>
        <w:t>开始，已有25</w:t>
      </w:r>
      <w:r>
        <w:rPr>
          <w:rFonts w:asciiTheme="minorEastAsia" w:hAnsiTheme="minorEastAsia"/>
          <w:szCs w:val="21"/>
        </w:rPr>
        <w:t>00</w:t>
      </w:r>
      <w:r>
        <w:rPr>
          <w:rFonts w:hint="eastAsia" w:asciiTheme="minorEastAsia" w:hAnsiTheme="minorEastAsia"/>
          <w:szCs w:val="21"/>
        </w:rPr>
        <w:t>多年的建城市史。据最新亚洲城市GDP排名，上海排名第二，仅次于东京，城市聚合元素势不可挡。追溯过往发展，上海还是一座具有丰厚人文特色魅力的历史名城，诸如海派文化、弄堂文化、崧泽文化等已成为城市转型发展中创意崛起的文化底蕴，并担负着2040年将</w:t>
      </w:r>
      <w:r>
        <w:rPr>
          <w:rFonts w:asciiTheme="minorEastAsia" w:hAnsiTheme="minorEastAsia"/>
          <w:szCs w:val="21"/>
        </w:rPr>
        <w:t>建设</w:t>
      </w:r>
      <w:r>
        <w:rPr>
          <w:rFonts w:hint="eastAsia" w:asciiTheme="minorEastAsia" w:hAnsiTheme="minorEastAsia"/>
          <w:szCs w:val="21"/>
        </w:rPr>
        <w:t>成</w:t>
      </w:r>
      <w:r>
        <w:rPr>
          <w:rFonts w:asciiTheme="minorEastAsia" w:hAnsiTheme="minorEastAsia"/>
          <w:szCs w:val="21"/>
        </w:rPr>
        <w:t>令人向往的</w:t>
      </w:r>
      <w:r>
        <w:rPr>
          <w:rFonts w:hint="eastAsia" w:asciiTheme="minorEastAsia" w:hAnsiTheme="minorEastAsia"/>
          <w:szCs w:val="21"/>
        </w:rPr>
        <w:t>“</w:t>
      </w:r>
      <w:r>
        <w:rPr>
          <w:rFonts w:asciiTheme="minorEastAsia" w:hAnsiTheme="minorEastAsia"/>
          <w:szCs w:val="21"/>
        </w:rPr>
        <w:t>卓越</w:t>
      </w:r>
      <w:r>
        <w:rPr>
          <w:rFonts w:hint="eastAsia" w:asciiTheme="minorEastAsia" w:hAnsiTheme="minorEastAsia"/>
          <w:szCs w:val="21"/>
        </w:rPr>
        <w:t>的</w:t>
      </w:r>
      <w:r>
        <w:rPr>
          <w:rFonts w:asciiTheme="minorEastAsia" w:hAnsiTheme="minorEastAsia"/>
          <w:szCs w:val="21"/>
        </w:rPr>
        <w:t>全球城市”</w:t>
      </w:r>
      <w:r>
        <w:rPr>
          <w:rFonts w:hint="eastAsia" w:asciiTheme="minorEastAsia" w:hAnsiTheme="minorEastAsia"/>
          <w:szCs w:val="21"/>
        </w:rPr>
        <w:t>的历史使命，担负着实现独具魅力的创新之城、人文之城、生态之城的美好愿景。</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为此，《中国城事》系列课程的开设，不仅是充分地展示我国改革开放4</w:t>
      </w:r>
      <w:r>
        <w:rPr>
          <w:rFonts w:asciiTheme="minorEastAsia" w:hAnsiTheme="minorEastAsia" w:cstheme="minorEastAsia"/>
          <w:szCs w:val="21"/>
        </w:rPr>
        <w:t>0</w:t>
      </w:r>
      <w:r>
        <w:rPr>
          <w:rFonts w:hint="eastAsia" w:asciiTheme="minorEastAsia" w:hAnsiTheme="minorEastAsia" w:cstheme="minorEastAsia"/>
          <w:szCs w:val="21"/>
        </w:rPr>
        <w:t>年来城市蓬勃发展的巨大成就，展示城市化时代中国和平崛起的国际魅力，认清中国治国理政的根本是中国共产党的领导和中国特色社会主义制度，认清任何时候我们都必须坚持“四个自信”即“中国特色社会主义道路自信、理论自信、制度自信、文化自信”，这同时是实现中国伟大复兴的强劲动力。《中国城事》还将是充分地展现高校实现区域人才培养的德育责任，展现与现实生活相结合的公序良俗，展示遵守社会公德的文明行为，更是展示德才兼备的职业素养与能力品格的起航扬帆点、通向未来幸福的智慧关节点。</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建筑可以阅读，街区适合漫步，城市始终有温度</w:t>
      </w:r>
      <w:r>
        <w:rPr>
          <w:rFonts w:hint="eastAsia" w:asciiTheme="minorEastAsia" w:hAnsiTheme="minorEastAsia" w:cstheme="minorEastAsia"/>
          <w:szCs w:val="21"/>
        </w:rPr>
        <w:t>。将相关中国城市发展的学术成果通过《中国城事》这样的系列校内外专家讲授，“上大课、讲大势、传大道”，立德树人，紧扣时代发展，回应大学生关切，把思想政治工作贯穿课程教育的全过程。《中国城事》通过这样的育人渠道，将既丰富本学院的知识传播与文明传递，为推进学院职教的“产教融合”起积极的学术传播作用，同时让我们的学生在追寻未来的发展中进一步加强对城乡世界的观察与聚焦，学会如何提升自身内涵、积极应对环境世界的变化，学会如何增进焕发智慧的自由思考、积极提升更有责任感的自主能力。</w:t>
      </w:r>
    </w:p>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二、建设目标</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（一）感受城市管理的精准之道</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由于近些年我国城市过度的功能性扩展，导致生态资源的快速退化、公共设施的扶持欠缺、历史街区的摩登修缮，也因此有了更激烈的关于城乡发展与生活形态的剖析与省思。透过我们所重点关注的智能制造、生态城市、互联网+、养老医疗、城市安防等主题的多元发展与在地实践，可以强烈地感受到，迈向全球城市的建设过程，既是实现高质量创新目标的任务践行，同时还是阻力矛盾叠加、风险隐患增多的挑战竞逐。</w:t>
      </w:r>
      <w:r>
        <w:rPr>
          <w:rFonts w:asciiTheme="minorEastAsia" w:hAnsiTheme="minorEastAsia" w:cstheme="minorEastAsia"/>
          <w:szCs w:val="21"/>
        </w:rPr>
        <w:t>纸上得来终觉浅，绝知此事要躬行。</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（二）感受城市乡村的人文之怀</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随着21世纪以来人类科学技术的极速发展，既有的生活方式及城市风貌都发生了很大的变化。特别是由于急功近利的忽视建筑保护策略，旧城传统的习俗氛围遭遇了备受责备的拆迁尴尬，人们困惑于城镇街区的辨识度，这越来越成为一种平行于人类历史演变的城市心理病症。</w:t>
      </w:r>
      <w:r>
        <w:rPr>
          <w:rFonts w:asciiTheme="minorEastAsia" w:hAnsiTheme="minorEastAsia" w:cstheme="minorEastAsia"/>
          <w:szCs w:val="21"/>
        </w:rPr>
        <w:t>霍华德</w:t>
      </w:r>
      <w:r>
        <w:rPr>
          <w:rFonts w:hint="eastAsia" w:asciiTheme="minorEastAsia" w:hAnsiTheme="minorEastAsia" w:cstheme="minorEastAsia"/>
          <w:szCs w:val="21"/>
        </w:rPr>
        <w:t>认为：“</w:t>
      </w:r>
      <w:r>
        <w:rPr>
          <w:rFonts w:asciiTheme="minorEastAsia" w:hAnsiTheme="minorEastAsia" w:cstheme="minorEastAsia"/>
          <w:szCs w:val="21"/>
        </w:rPr>
        <w:t>一座城市就像一棵花、一株草或一个动物，它应该在成长的每一个阶段保持统一、和谐、完整</w:t>
      </w:r>
      <w:r>
        <w:rPr>
          <w:rFonts w:hint="eastAsia" w:asciiTheme="minorEastAsia" w:hAnsiTheme="minorEastAsia" w:cstheme="minorEastAsia"/>
          <w:szCs w:val="21"/>
        </w:rPr>
        <w:t>。”这样的以“人的尺度”为关照的思考，探寻的是为他人创造幸福利益的尊崇与虔敬的城市伦理，在传递自我力量的同时，获得城乡空间的交互共生，城市的视觉材料因而不再是冷漠、拥挤、污染、昂贵、荒蛮、失衡的欲望扭结。</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（三）感受城市秩序的理性之选</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唯有德泽天地厚，才能载物守八方。步步踏实、步步深入，不断探索人的和谐风景，已是当今世界的发展共识。在资讯过载的现代社会，反复思量的理性秩序尤为重要，这正如见山见水、民生福祉所描摹的那样，网络时代机遇与挑战并驾齐驱，任重道远。反躬自省，地震灾害、雾霾气候、恐怖侵袭、火灾爆炸，愈来愈复杂的安全威胁正困扰着当今的人们，城市生活更依赖于不能逾越的道德界限。由此追寻，在我国全面建设现代化目标的道路上，营造良好的体制环境尤为重要，必须精准谋划、必须精密算计，增强管理方式的亲和力、增强管理对策的聚焦力，以形成更加成熟、更加定型的体制机制，迈进世界意义的创新国家。</w:t>
      </w:r>
    </w:p>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三、建设内容</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（一）课程模块</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为了使授课适应当今课程思政的改革趋势，让课程的主题与人才建构系统的知识与能力相匹配，将课程的内容看成是完整的中国城事的信息传播过程，为此设计《中国城事》课程内容分成城市品读、城市建设、城市治理、城市记忆、城市梦想这五个模块（表1），通过“讲述中国城市的发展故事”“梳理中国城市的当代风貌”“展示中国城市的未来蓝图”等，多角度、多层面地让学生在追问“什么是中国当下的城事”的过程中，对当代城市的发展有确定性的认识，增进对于未来中国的雄才韬略。同时，这门课程在开拓思政教育的同时，对教师还是一次职业意义的探寻，即如何实现关注人、关注人的生活方式以及意义生活的教育立体维度，如何搭建教育者与被教育者之间良好沟通的精神平台，如何将教育全面质量观的动态过程发展成教育可持续生态观。作为上海城建职业学院的一门推动学生道德成长的战略性课程，《中国城事》将努力提升高职学生的智慧、敬业、公正、真诚、宽容、和善、合作、负责、谦虚等道德品质，并在任课教师的人格魅力的驱动下，促进学生的自我发展与自我完善。</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1.模块一：城市品读</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介绍关于城市、城市群、现代城市等经典著述中的理论，品读古今中外的代表性城市的特色魅力，让高职学生了解当代城市的特点内涵、价值意义、风物人情、未来展望等内容，较清晰地理解现代城市的社会经济与文化发展的基本规律，理解城市资源的优势和不足，以及城市进程的不平衡性特点，把握城市发展的精神原动力，思考选择城市与选择生活的明智因素。</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2.模块二：城市建设</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通过经典案例，将城市的建筑文化、规划布局、艺术时尚等加以描述，让学生得以在身心愉悦的城市崇仰里体会各种人类智慧的精髓，体会城市建设中的多样性与丰富性，体会城市空间设计的视觉创意、城市文化品格的多元荟萃，并以城市的未来设计趋势，提供跨越世纪的关于城市的中西文化潮流。</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3.模块三：城市治理</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通过对快速城市化时代的各种经验与教训的梳理概述，通过对城市公共空间的各种洞见与盲视的论析研判，通过对城市的基础设施建设、环境设计保护、应急管理执法、资源再生循环等的探讨，聚焦城市时代的多元协调的主导性元素，推进对街道邻里、社区聚落、城市市政的强烈关注，加快城市精细化管理的人本步伐，加深理论研讨、提升实践效能，使城市成为所有人有尊严的生存空间。</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4.模块四：城市记忆</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主要通过近代以来的中国城市规划发展、上海城市历史变迁的脉络，通过对城市产业发展及科技发展的叙述，通过对世博会、“世界城市日”的介绍，了解城市发展过程中的管理智慧、文化传统、红色基因，让城市的时间向度赋予全新的意义，让学生感受到生活在城市时代，每个人都有义务将生命的热情纳入到城市的动力源之中，借助自己的爱心与智慧，让城市真正成为人生宜居宜业的不凡舞台。</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5.模块五：城市梦想</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通过对互联网时代城市时空维度的各种职场故事，让学生认识到：城市犹如经络血脉的生命运行体，每个人对于运行于城市的保障体系、管理能效、养老服务、风险防范、生态平衡等都有交织创想智慧的诚恳与襟怀，都希望所有的努力都能为城市市民带来为人的服务、彼此的信赖、环保的体验、丰足的喜乐。同时这种职场梦想还意味着，未来的城市不仅能在梦想下修复自然生态，还能在旧梦新象间平衡城市结构、社会结构，更能在听觉与视觉的惬意里疗愈各种关于城市的心灵迷失。</w:t>
      </w:r>
    </w:p>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表1</w:t>
      </w:r>
      <w:r>
        <w:rPr>
          <w:rFonts w:asciiTheme="minorEastAsia" w:hAnsiTheme="minorEastAsia" w:cstheme="minorEastAsia"/>
          <w:szCs w:val="21"/>
        </w:rPr>
        <w:t xml:space="preserve">  </w:t>
      </w:r>
      <w:r>
        <w:rPr>
          <w:rFonts w:hint="eastAsia" w:asciiTheme="minorEastAsia" w:hAnsiTheme="minorEastAsia" w:cstheme="minorEastAsia"/>
          <w:szCs w:val="21"/>
        </w:rPr>
        <w:t>模块分解-课程主题</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90"/>
        <w:gridCol w:w="1490"/>
        <w:gridCol w:w="1490"/>
        <w:gridCol w:w="149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074"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模块序列</w:t>
            </w:r>
          </w:p>
        </w:tc>
        <w:tc>
          <w:tcPr>
            <w:tcW w:w="1490"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模块一：</w:t>
            </w:r>
          </w:p>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城市品读</w:t>
            </w:r>
          </w:p>
        </w:tc>
        <w:tc>
          <w:tcPr>
            <w:tcW w:w="1490"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模块二：</w:t>
            </w:r>
          </w:p>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城市建设</w:t>
            </w:r>
          </w:p>
        </w:tc>
        <w:tc>
          <w:tcPr>
            <w:tcW w:w="1490"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模块三：</w:t>
            </w:r>
          </w:p>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城市治理</w:t>
            </w:r>
          </w:p>
        </w:tc>
        <w:tc>
          <w:tcPr>
            <w:tcW w:w="1490"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模块四：</w:t>
            </w:r>
          </w:p>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城市记忆</w:t>
            </w:r>
          </w:p>
        </w:tc>
        <w:tc>
          <w:tcPr>
            <w:tcW w:w="1488" w:type="dxa"/>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模块五：</w:t>
            </w:r>
          </w:p>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城市梦想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074" w:type="dxa"/>
            <w:vMerge w:val="restart"/>
            <w:vAlign w:val="center"/>
          </w:tcPr>
          <w:p>
            <w:pPr>
              <w:adjustRightInd w:val="0"/>
              <w:snapToGrid w:val="0"/>
              <w:spacing w:line="340" w:lineRule="atLeast"/>
              <w:jc w:val="center"/>
              <w:rPr>
                <w:rFonts w:asciiTheme="minorEastAsia" w:hAnsiTheme="minorEastAsia" w:cstheme="minorEastAsia"/>
                <w:b/>
                <w:sz w:val="18"/>
                <w:szCs w:val="18"/>
              </w:rPr>
            </w:pPr>
            <w:r>
              <w:rPr>
                <w:rFonts w:hint="eastAsia" w:asciiTheme="minorEastAsia" w:hAnsiTheme="minorEastAsia" w:cstheme="minorEastAsia"/>
                <w:b/>
                <w:sz w:val="18"/>
                <w:szCs w:val="18"/>
              </w:rPr>
              <w:t>课程主题</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城市历史漫谈</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城市建筑文化</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城市公共空间</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城市工作会议</w:t>
            </w:r>
          </w:p>
        </w:tc>
        <w:tc>
          <w:tcPr>
            <w:tcW w:w="1488"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迈向卓越城市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074" w:type="dxa"/>
            <w:vMerge w:val="continue"/>
          </w:tcPr>
          <w:p>
            <w:pPr>
              <w:adjustRightInd w:val="0"/>
              <w:snapToGrid w:val="0"/>
              <w:spacing w:line="340" w:lineRule="atLeast"/>
              <w:jc w:val="center"/>
              <w:rPr>
                <w:rFonts w:asciiTheme="minorEastAsia" w:hAnsiTheme="minorEastAsia" w:cstheme="minorEastAsia"/>
                <w:sz w:val="18"/>
                <w:szCs w:val="18"/>
              </w:rPr>
            </w:pP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城市群的发展</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城市艺术时尚</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城市市政建设</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城市红色基因</w:t>
            </w:r>
          </w:p>
        </w:tc>
        <w:tc>
          <w:tcPr>
            <w:tcW w:w="1488"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城市职场经纬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074" w:type="dxa"/>
            <w:vMerge w:val="continue"/>
          </w:tcPr>
          <w:p>
            <w:pPr>
              <w:adjustRightInd w:val="0"/>
              <w:snapToGrid w:val="0"/>
              <w:spacing w:line="340" w:lineRule="atLeast"/>
              <w:jc w:val="center"/>
              <w:rPr>
                <w:rFonts w:asciiTheme="minorEastAsia" w:hAnsiTheme="minorEastAsia" w:cstheme="minorEastAsia"/>
                <w:sz w:val="18"/>
                <w:szCs w:val="18"/>
              </w:rPr>
            </w:pP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城市品牌形象</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城市规划设计</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城市应急管理</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城市精神诠释</w:t>
            </w:r>
          </w:p>
        </w:tc>
        <w:tc>
          <w:tcPr>
            <w:tcW w:w="1488"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城市匠人对话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074" w:type="dxa"/>
            <w:vMerge w:val="continue"/>
          </w:tcPr>
          <w:p>
            <w:pPr>
              <w:adjustRightInd w:val="0"/>
              <w:snapToGrid w:val="0"/>
              <w:spacing w:line="340" w:lineRule="atLeast"/>
              <w:jc w:val="center"/>
              <w:rPr>
                <w:rFonts w:asciiTheme="minorEastAsia" w:hAnsiTheme="minorEastAsia" w:cstheme="minorEastAsia"/>
                <w:sz w:val="18"/>
                <w:szCs w:val="18"/>
              </w:rPr>
            </w:pP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城市经典著述</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城市环境保护</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老龄社会探微</w:t>
            </w:r>
          </w:p>
        </w:tc>
        <w:tc>
          <w:tcPr>
            <w:tcW w:w="1490"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城市地域印象</w:t>
            </w:r>
          </w:p>
        </w:tc>
        <w:tc>
          <w:tcPr>
            <w:tcW w:w="1488" w:type="dxa"/>
          </w:tcPr>
          <w:p>
            <w:pPr>
              <w:adjustRightInd w:val="0"/>
              <w:snapToGrid w:val="0"/>
              <w:spacing w:line="340" w:lineRule="atLeast"/>
              <w:jc w:val="center"/>
              <w:rPr>
                <w:rFonts w:asciiTheme="minorEastAsia" w:hAnsiTheme="minorEastAsia" w:cstheme="minorEastAsia"/>
                <w:sz w:val="18"/>
                <w:szCs w:val="18"/>
              </w:rPr>
            </w:pPr>
            <w:r>
              <w:rPr>
                <w:rFonts w:hint="eastAsia" w:asciiTheme="minorEastAsia" w:hAnsiTheme="minorEastAsia" w:cstheme="minorEastAsia"/>
                <w:sz w:val="18"/>
                <w:szCs w:val="18"/>
              </w:rPr>
              <w:t>一带一路展望</w:t>
            </w:r>
          </w:p>
        </w:tc>
      </w:tr>
    </w:tbl>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（二）师资队伍</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《中国城事》课程是以贯彻习近平</w:t>
      </w:r>
      <w:r>
        <w:rPr>
          <w:rFonts w:hint="eastAsia" w:ascii="Arial" w:hAnsi="Arial" w:cs="Arial"/>
          <w:color w:val="333333"/>
          <w:szCs w:val="21"/>
          <w:shd w:val="clear" w:color="auto" w:fill="FFFFFF"/>
        </w:rPr>
        <w:t>新时代中国特色社会主义思想放在首位，是基于</w:t>
      </w:r>
      <w:r>
        <w:rPr>
          <w:rFonts w:ascii="Arial" w:hAnsi="Arial" w:cs="Arial"/>
          <w:color w:val="333333"/>
          <w:szCs w:val="21"/>
          <w:shd w:val="clear" w:color="auto" w:fill="FFFFFF"/>
        </w:rPr>
        <w:t>构建全员、全程、全课程育人格局的</w:t>
      </w:r>
      <w:r>
        <w:rPr>
          <w:rFonts w:hint="eastAsia" w:ascii="Arial" w:hAnsi="Arial" w:cs="Arial"/>
          <w:color w:val="333333"/>
          <w:szCs w:val="21"/>
          <w:shd w:val="clear" w:color="auto" w:fill="FFFFFF"/>
        </w:rPr>
        <w:t>课程思政</w:t>
      </w:r>
      <w:r>
        <w:rPr>
          <w:rFonts w:ascii="Arial" w:hAnsi="Arial" w:cs="Arial"/>
          <w:color w:val="333333"/>
          <w:szCs w:val="21"/>
          <w:shd w:val="clear" w:color="auto" w:fill="FFFFFF"/>
        </w:rPr>
        <w:t>形式</w:t>
      </w:r>
      <w:r>
        <w:rPr>
          <w:rFonts w:hint="eastAsia" w:ascii="Arial" w:hAnsi="Arial" w:cs="Arial"/>
          <w:color w:val="333333"/>
          <w:szCs w:val="21"/>
          <w:shd w:val="clear" w:color="auto" w:fill="FFFFFF"/>
        </w:rPr>
        <w:t>，将相关专业老师传授的城市故事与立德树人的根本理念结合起来，让学生通过课堂教育这样的主渠道，强化对</w:t>
      </w:r>
      <w:r>
        <w:rPr>
          <w:rFonts w:ascii="Arial" w:hAnsi="Arial" w:cs="Arial"/>
          <w:color w:val="333333"/>
          <w:szCs w:val="21"/>
          <w:shd w:val="clear" w:color="auto" w:fill="FFFFFF"/>
        </w:rPr>
        <w:t>社会主义核心价值观</w:t>
      </w:r>
      <w:r>
        <w:rPr>
          <w:rFonts w:hint="eastAsia" w:ascii="Arial" w:hAnsi="Arial" w:cs="Arial"/>
          <w:color w:val="333333"/>
          <w:szCs w:val="21"/>
          <w:shd w:val="clear" w:color="auto" w:fill="FFFFFF"/>
        </w:rPr>
        <w:t>的认同</w:t>
      </w:r>
      <w:r>
        <w:rPr>
          <w:rFonts w:ascii="Arial" w:hAnsi="Arial" w:cs="Arial"/>
          <w:color w:val="333333"/>
          <w:szCs w:val="21"/>
          <w:shd w:val="clear" w:color="auto" w:fill="FFFFFF"/>
        </w:rPr>
        <w:t>，</w:t>
      </w:r>
      <w:r>
        <w:rPr>
          <w:rFonts w:hint="eastAsia" w:ascii="Arial" w:hAnsi="Arial" w:cs="Arial"/>
          <w:color w:val="333333"/>
          <w:szCs w:val="21"/>
          <w:shd w:val="clear" w:color="auto" w:fill="FFFFFF"/>
        </w:rPr>
        <w:t>即</w:t>
      </w:r>
      <w:r>
        <w:rPr>
          <w:rFonts w:ascii="Arial" w:hAnsi="Arial" w:cs="Arial"/>
          <w:color w:val="333333"/>
          <w:szCs w:val="21"/>
          <w:shd w:val="clear" w:color="auto" w:fill="FFFFFF"/>
        </w:rPr>
        <w:t>以政治认同、国家意识、文化自信和公民人格为</w:t>
      </w:r>
      <w:r>
        <w:rPr>
          <w:rFonts w:hint="eastAsia" w:ascii="Arial" w:hAnsi="Arial" w:cs="Arial"/>
          <w:color w:val="333333"/>
          <w:szCs w:val="21"/>
          <w:shd w:val="clear" w:color="auto" w:fill="FFFFFF"/>
        </w:rPr>
        <w:t>教学</w:t>
      </w:r>
      <w:r>
        <w:rPr>
          <w:rFonts w:ascii="Arial" w:hAnsi="Arial" w:cs="Arial"/>
          <w:color w:val="333333"/>
          <w:szCs w:val="21"/>
          <w:shd w:val="clear" w:color="auto" w:fill="FFFFFF"/>
        </w:rPr>
        <w:t>重点</w:t>
      </w:r>
      <w:r>
        <w:rPr>
          <w:rFonts w:hint="eastAsia" w:ascii="Arial" w:hAnsi="Arial" w:cs="Arial"/>
          <w:color w:val="333333"/>
          <w:szCs w:val="21"/>
          <w:shd w:val="clear" w:color="auto" w:fill="FFFFFF"/>
        </w:rPr>
        <w:t>，进行课程的</w:t>
      </w:r>
      <w:r>
        <w:rPr>
          <w:rFonts w:ascii="Arial" w:hAnsi="Arial" w:cs="Arial"/>
          <w:color w:val="333333"/>
          <w:szCs w:val="21"/>
          <w:shd w:val="clear" w:color="auto" w:fill="FFFFFF"/>
        </w:rPr>
        <w:t>顶层内容体系构架</w:t>
      </w:r>
      <w:r>
        <w:rPr>
          <w:rFonts w:hint="eastAsia" w:ascii="Arial" w:hAnsi="Arial" w:cs="Arial"/>
          <w:color w:val="333333"/>
          <w:szCs w:val="21"/>
          <w:shd w:val="clear" w:color="auto" w:fill="FFFFFF"/>
        </w:rPr>
        <w:t>，努力把学生培养成社会主义合格接班人。</w:t>
      </w:r>
      <w:r>
        <w:rPr>
          <w:rFonts w:hint="eastAsia" w:asciiTheme="minorEastAsia" w:hAnsiTheme="minorEastAsia" w:cstheme="minorEastAsia"/>
          <w:szCs w:val="21"/>
        </w:rPr>
        <w:t>因此，对于任课教师的选用有非常严格的要求，既要有高度的政治觉悟和专业素养，同时也要求熟稔高职学院的教学规律，具备充分的驾驭课堂能力。概言之，在师资队伍的建设上，首要的条件是德才兼备。目前已有约40人的教师，由校内校外德才兼备的优秀教师、知名专家组成，未来的计划是形成50～100人的教师队伍。</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“中国系列”课程《中国城事》的定位是全员思政教育的标杆课程，因此学院党政领导也积极参与课堂教学的传道授课与课程建设，努力将其打造成上海知名课程。因此，更强调师资队伍的建设，必须是一支</w:t>
      </w:r>
      <w:r>
        <w:rPr>
          <w:rFonts w:asciiTheme="minorEastAsia" w:hAnsiTheme="minorEastAsia" w:cstheme="minorEastAsia"/>
          <w:szCs w:val="21"/>
        </w:rPr>
        <w:t>师德高尚、业务过硬、肯钻研、善思考、不断实践创新</w:t>
      </w:r>
      <w:r>
        <w:rPr>
          <w:rFonts w:hint="eastAsia" w:asciiTheme="minorEastAsia" w:hAnsiTheme="minorEastAsia" w:cstheme="minorEastAsia"/>
          <w:szCs w:val="21"/>
        </w:rPr>
        <w:t>的教师队伍，而且在科研上也要有一定的成果，这样可以使教师的专业素养始终有源头活水，课堂会充满生机。</w:t>
      </w:r>
    </w:p>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四、建设措施</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我院《中国城事》系列课程的设置，是将思政教育提升到“课程思政”的一种教育改革，因此从传统的专业讲课方式转换到“课程思政”的讲课方式，对于每个讲课教师而言，是一次教学方法革新，也是在教法上如何体现“以人为本”的教改试验。但相信因为我们讲课老师们的共同努力，《中国城事》授课理念的创新将会在很大层面上拉动我院的课程建设与课程发展。</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（一）备课前期的三个思考</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.什么内容讲得了，还能讲得好？</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.如何把学生引进来，并能留得住？</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3.如何讲得通俗易懂，把深奥的知识变成浅显的语言表达？</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（二）课程设计的基本理念</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.通过讲故事，来阐释大道理。</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.通过说道理，来感悟大智慧。</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3.通过明事理，来立德育人才。</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（三）教学手段的多元创新</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1.可以由2-</w:t>
      </w:r>
      <w:r>
        <w:rPr>
          <w:rFonts w:asciiTheme="minorEastAsia" w:hAnsiTheme="minorEastAsia" w:cstheme="minorEastAsia"/>
          <w:szCs w:val="21"/>
        </w:rPr>
        <w:t>3</w:t>
      </w:r>
      <w:r>
        <w:rPr>
          <w:rFonts w:hint="eastAsia" w:asciiTheme="minorEastAsia" w:hAnsiTheme="minorEastAsia" w:cstheme="minorEastAsia"/>
          <w:szCs w:val="21"/>
        </w:rPr>
        <w:t>个老师或艺术家、工匠等联袂进行，形成多元思维的碰撞。</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.可以模拟某种场景(如插花、布展)，通过充分的信息量展示，传达强烈的视觉美感。</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3.可以使用多种媒介(新型多媒体)，运用适度的科技艺术，达到互动共鸣的文化交流。</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4.可以将教室变成一个演播厅，变成主持人（教师）与观众（学生）之间的知识交互的空间。</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5.可以是一个老师的战场，努力挖掘课程资料，并注重教学演讲的语言魅力的营造。</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（四）课堂教学的节奏把握</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1.要有</w:t>
      </w:r>
      <w:r>
        <w:rPr>
          <w:rFonts w:asciiTheme="minorEastAsia" w:hAnsiTheme="minorEastAsia" w:cstheme="minorEastAsia"/>
          <w:szCs w:val="21"/>
        </w:rPr>
        <w:t>1/3</w:t>
      </w:r>
      <w:r>
        <w:rPr>
          <w:rFonts w:hint="eastAsia" w:asciiTheme="minorEastAsia" w:hAnsiTheme="minorEastAsia" w:cstheme="minorEastAsia"/>
          <w:szCs w:val="21"/>
        </w:rPr>
        <w:t>～</w:t>
      </w:r>
      <w:r>
        <w:rPr>
          <w:rFonts w:asciiTheme="minorEastAsia" w:hAnsiTheme="minorEastAsia" w:cstheme="minorEastAsia"/>
          <w:szCs w:val="21"/>
        </w:rPr>
        <w:t>1/4</w:t>
      </w:r>
      <w:r>
        <w:rPr>
          <w:rFonts w:hint="eastAsia" w:asciiTheme="minorEastAsia" w:hAnsiTheme="minorEastAsia" w:cstheme="minorEastAsia"/>
          <w:szCs w:val="21"/>
        </w:rPr>
        <w:t>的时间进行学生的互动提问、强话筒提问，增进学生的参与性。</w:t>
      </w:r>
    </w:p>
    <w:p>
      <w:pPr>
        <w:adjustRightInd w:val="0"/>
        <w:snapToGrid w:val="0"/>
        <w:spacing w:line="340" w:lineRule="atLeast"/>
        <w:ind w:firstLine="420" w:firstLineChars="200"/>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.要在“趣”字上做文章，可以颠覆常规讲法，把激起学生的兴趣作为最根本的教学立足点。</w:t>
      </w:r>
    </w:p>
    <w:p>
      <w:pPr>
        <w:adjustRightInd w:val="0"/>
        <w:snapToGrid w:val="0"/>
        <w:spacing w:line="340" w:lineRule="atLeast"/>
        <w:ind w:firstLine="420" w:firstLineChars="200"/>
        <w:rPr>
          <w:rFonts w:hint="eastAsia" w:asciiTheme="minorEastAsia" w:hAnsiTheme="minorEastAsia" w:cstheme="minorEastAsia"/>
          <w:szCs w:val="21"/>
        </w:rPr>
      </w:pPr>
    </w:p>
    <w:p>
      <w:pPr>
        <w:adjustRightInd w:val="0"/>
        <w:snapToGrid w:val="0"/>
        <w:spacing w:line="34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五、建设成效</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（一）初步成效</w:t>
      </w:r>
    </w:p>
    <w:p>
      <w:pPr>
        <w:ind w:firstLine="420" w:firstLineChars="200"/>
        <w:rPr>
          <w:rFonts w:ascii="宋体" w:hAnsi="宋体" w:eastAsia="宋体"/>
        </w:rPr>
      </w:pPr>
      <w:r>
        <w:rPr>
          <w:rFonts w:hint="eastAsia" w:ascii="宋体" w:hAnsi="宋体" w:eastAsia="宋体"/>
        </w:rPr>
        <w:t>在落实实施过程中，每个教师都积极探索：德育教育如何能推动受教育者内在的情感运动，形成学生海纳百川地接受知识，从而使其能更加积极、更加自信地追求与展示自己的价值？这是“中国城事”在推进课程思政的教学理论与方法、教学课例与案例之间关系的思考中，如何通过课程理论的实践化、情景化，课程实践的理性化、协商化，促成课程思政能真正将人才培育机制的创新放在首位的教学决策模式的重要探索，并缘此出发点，通过“中国城事”的成功教学，凸显为三个层面的教学实践内涵：一是重视教育对象的和谐发展，二是重视教育资源的思考辨析，三是重视教育视野的变革尝试。</w:t>
      </w:r>
    </w:p>
    <w:p>
      <w:pPr>
        <w:adjustRightInd w:val="0"/>
        <w:snapToGrid w:val="0"/>
        <w:spacing w:line="340" w:lineRule="atLeast"/>
        <w:ind w:firstLine="420" w:firstLineChars="200"/>
        <w:rPr>
          <w:rFonts w:ascii="宋体" w:hAnsi="宋体" w:eastAsia="宋体"/>
        </w:rPr>
      </w:pPr>
      <w:r>
        <w:rPr>
          <w:rFonts w:hint="eastAsia" w:ascii="宋体" w:hAnsi="宋体" w:eastAsia="宋体"/>
        </w:rPr>
        <w:t>作为课程思政的改革项目，《中国城事》通过全校不同学科教师的课堂教学设计，共同完成由道德认识转化为道德行为的育人社会责任，呈现了不流于俗的创新典雅的教学姿态，体现了教师认真看待学生健康成长的价值引导，体现了生态德育的体验性教育特点，并藉此提升学生自我发现、自我认识的意志力自信力，让学生在有温度的情感培育过程中努力成熟茁壮，且成为成才的精神动力。</w:t>
      </w:r>
    </w:p>
    <w:p>
      <w:pPr>
        <w:ind w:firstLine="420" w:firstLineChars="200"/>
        <w:rPr>
          <w:rFonts w:ascii="宋体" w:hAnsi="宋体" w:eastAsia="宋体"/>
        </w:rPr>
      </w:pPr>
      <w:r>
        <w:rPr>
          <w:rFonts w:hint="eastAsia" w:ascii="宋体" w:hAnsi="宋体" w:eastAsia="宋体"/>
        </w:rPr>
        <w:t>（二）教学成果</w:t>
      </w:r>
    </w:p>
    <w:p>
      <w:pPr>
        <w:adjustRightInd w:val="0"/>
        <w:snapToGrid w:val="0"/>
        <w:spacing w:line="340" w:lineRule="atLeast"/>
        <w:ind w:firstLine="420" w:firstLineChars="200"/>
        <w:rPr>
          <w:rFonts w:hint="eastAsia" w:asciiTheme="minorEastAsia" w:hAnsiTheme="minorEastAsia" w:cstheme="minorEastAsia"/>
          <w:szCs w:val="21"/>
        </w:rPr>
      </w:pPr>
      <w:r>
        <w:rPr>
          <w:rFonts w:hint="eastAsia" w:ascii="宋体" w:hAnsi="宋体" w:eastAsia="宋体"/>
        </w:rPr>
        <w:t>“中国城事”课程的开设是作为“课程思政”改革的新举措，是在新形势下把高校思想政治工作摆在重要位置的战略拓展，因此在课程建设过程中，积极响应当前高校“中国系列”思政课选修课程规范化建设的育人需求。为此，本课程着力于打造成学院的品牌文化高地，在学院领导的全面关心支持下，不仅全程录像、全程关注，而且将教师成熟的教学讲义、课件等教学资料，优秀学生作业，编撰成稿、公开出版（《“中国城事”课程专辑》等），并将年度内高质量的精品讲课内容制作成在线授课视频。这样，既可以作为学生发现城市、理解城市、融入城市的学习样本，辅助学生延伸对未来职场人生的经验视野，同时也可以作为本学院“中国城事”课程教学教研的学术成果。</w:t>
      </w: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表1  教学成果</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803"/>
        <w:gridCol w:w="170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8"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成果名称</w:t>
            </w:r>
          </w:p>
        </w:tc>
        <w:tc>
          <w:tcPr>
            <w:tcW w:w="1803"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载体</w:t>
            </w:r>
          </w:p>
        </w:tc>
        <w:tc>
          <w:tcPr>
            <w:tcW w:w="1709"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完成实践</w:t>
            </w:r>
          </w:p>
        </w:tc>
        <w:tc>
          <w:tcPr>
            <w:tcW w:w="2002"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制作单位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8"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《中国城事》课程专辑（《上海城市管理》增刊）</w:t>
            </w:r>
          </w:p>
        </w:tc>
        <w:tc>
          <w:tcPr>
            <w:tcW w:w="1803"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教材</w:t>
            </w:r>
          </w:p>
        </w:tc>
        <w:tc>
          <w:tcPr>
            <w:tcW w:w="1709"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2017年12月</w:t>
            </w:r>
          </w:p>
        </w:tc>
        <w:tc>
          <w:tcPr>
            <w:tcW w:w="2002"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本校城市发展研究中心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8"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《中国城事》形成性考核手册</w:t>
            </w:r>
          </w:p>
        </w:tc>
        <w:tc>
          <w:tcPr>
            <w:tcW w:w="1803"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练习册</w:t>
            </w:r>
          </w:p>
        </w:tc>
        <w:tc>
          <w:tcPr>
            <w:tcW w:w="1709"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2018年3月/2017年9月</w:t>
            </w:r>
          </w:p>
        </w:tc>
        <w:tc>
          <w:tcPr>
            <w:tcW w:w="2002" w:type="dxa"/>
          </w:tcPr>
          <w:p>
            <w:r>
              <w:rPr>
                <w:rFonts w:hint="eastAsia" w:asciiTheme="minorEastAsia" w:hAnsiTheme="minorEastAsia" w:cstheme="minorEastAsia"/>
                <w:szCs w:val="21"/>
              </w:rPr>
              <w:t>本校城市发展研究中心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8"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《中国城事》课程视频、宣传片</w:t>
            </w:r>
          </w:p>
        </w:tc>
        <w:tc>
          <w:tcPr>
            <w:tcW w:w="1803"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多媒体学习资料</w:t>
            </w:r>
          </w:p>
        </w:tc>
        <w:tc>
          <w:tcPr>
            <w:tcW w:w="1709"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2017年9月-2018年6月</w:t>
            </w:r>
          </w:p>
        </w:tc>
        <w:tc>
          <w:tcPr>
            <w:tcW w:w="2002" w:type="dxa"/>
          </w:tcPr>
          <w:p>
            <w:r>
              <w:rPr>
                <w:rFonts w:hint="eastAsia" w:asciiTheme="minorEastAsia" w:hAnsiTheme="minorEastAsia" w:cstheme="minorEastAsia"/>
                <w:szCs w:val="21"/>
              </w:rPr>
              <w:t>本校城市发展研究中心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8"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《中国城事》音频传播（5期）</w:t>
            </w:r>
          </w:p>
        </w:tc>
        <w:tc>
          <w:tcPr>
            <w:tcW w:w="1803"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东方广播电台、阿基米德F</w:t>
            </w:r>
            <w:r>
              <w:rPr>
                <w:rFonts w:asciiTheme="minorEastAsia" w:hAnsiTheme="minorEastAsia" w:cstheme="minorEastAsia"/>
                <w:szCs w:val="21"/>
              </w:rPr>
              <w:t>M</w:t>
            </w:r>
          </w:p>
        </w:tc>
        <w:tc>
          <w:tcPr>
            <w:tcW w:w="1709"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2018年11月</w:t>
            </w:r>
          </w:p>
        </w:tc>
        <w:tc>
          <w:tcPr>
            <w:tcW w:w="2002" w:type="dxa"/>
          </w:tcPr>
          <w:p>
            <w:pPr>
              <w:rPr>
                <w:rFonts w:hint="eastAsia" w:asciiTheme="minorEastAsia" w:hAnsiTheme="minorEastAsia" w:cstheme="minorEastAsia"/>
                <w:szCs w:val="21"/>
              </w:rPr>
            </w:pPr>
            <w:r>
              <w:rPr>
                <w:rFonts w:hint="eastAsia" w:asciiTheme="minorEastAsia" w:hAnsiTheme="minorEastAsia" w:cstheme="minorEastAsia"/>
                <w:szCs w:val="21"/>
              </w:rPr>
              <w:t>本校宣传部、城市发展研究中心</w:t>
            </w:r>
          </w:p>
        </w:tc>
      </w:tr>
    </w:tbl>
    <w:p>
      <w:pPr>
        <w:adjustRightInd w:val="0"/>
        <w:snapToGrid w:val="0"/>
        <w:spacing w:line="340" w:lineRule="atLeast"/>
        <w:ind w:firstLine="420" w:firstLineChars="200"/>
        <w:rPr>
          <w:rFonts w:asciiTheme="minorEastAsia" w:hAnsiTheme="minorEastAsia" w:cstheme="minorEastAsia"/>
          <w:szCs w:val="21"/>
        </w:rPr>
      </w:pPr>
    </w:p>
    <w:p>
      <w:pPr>
        <w:adjustRightInd w:val="0"/>
        <w:snapToGrid w:val="0"/>
        <w:spacing w:line="34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表2</w:t>
      </w:r>
      <w:r>
        <w:rPr>
          <w:rFonts w:asciiTheme="minorEastAsia" w:hAnsiTheme="minorEastAsia" w:cstheme="minorEastAsia"/>
          <w:szCs w:val="21"/>
        </w:rPr>
        <w:t xml:space="preserve">  </w:t>
      </w:r>
      <w:r>
        <w:rPr>
          <w:rFonts w:hint="eastAsia" w:asciiTheme="minorEastAsia" w:hAnsiTheme="minorEastAsia" w:cstheme="minorEastAsia"/>
          <w:szCs w:val="21"/>
        </w:rPr>
        <w:t>拟完成的教学成果</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749"/>
        <w:gridCol w:w="134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成果名称</w:t>
            </w:r>
          </w:p>
        </w:tc>
        <w:tc>
          <w:tcPr>
            <w:tcW w:w="1749"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载体</w:t>
            </w:r>
          </w:p>
        </w:tc>
        <w:tc>
          <w:tcPr>
            <w:tcW w:w="1345"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完成实践</w:t>
            </w:r>
          </w:p>
        </w:tc>
        <w:tc>
          <w:tcPr>
            <w:tcW w:w="3092" w:type="dxa"/>
          </w:tcPr>
          <w:p>
            <w:pPr>
              <w:adjustRightInd w:val="0"/>
              <w:snapToGrid w:val="0"/>
              <w:spacing w:line="340" w:lineRule="atLeast"/>
              <w:jc w:val="center"/>
              <w:rPr>
                <w:rFonts w:asciiTheme="minorEastAsia" w:hAnsiTheme="minorEastAsia" w:cstheme="minorEastAsia"/>
                <w:b/>
                <w:szCs w:val="21"/>
              </w:rPr>
            </w:pPr>
            <w:r>
              <w:rPr>
                <w:rFonts w:hint="eastAsia" w:asciiTheme="minorEastAsia" w:hAnsiTheme="minorEastAsia" w:cstheme="minorEastAsia"/>
                <w:b/>
                <w:szCs w:val="21"/>
              </w:rPr>
              <w:t>制作单位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《中国城事》在线微课</w:t>
            </w:r>
          </w:p>
        </w:tc>
        <w:tc>
          <w:tcPr>
            <w:tcW w:w="1749"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多媒体课件</w:t>
            </w:r>
          </w:p>
        </w:tc>
        <w:tc>
          <w:tcPr>
            <w:tcW w:w="1345" w:type="dxa"/>
          </w:tcPr>
          <w:p>
            <w:pPr>
              <w:adjustRightInd w:val="0"/>
              <w:snapToGrid w:val="0"/>
              <w:spacing w:line="340" w:lineRule="atLeast"/>
              <w:rPr>
                <w:rFonts w:asciiTheme="minorEastAsia" w:hAnsiTheme="minorEastAsia" w:cstheme="minorEastAsia"/>
                <w:szCs w:val="21"/>
              </w:rPr>
            </w:pPr>
            <w:r>
              <w:rPr>
                <w:rFonts w:hint="eastAsia" w:asciiTheme="minorEastAsia" w:hAnsiTheme="minorEastAsia" w:cstheme="minorEastAsia"/>
                <w:szCs w:val="21"/>
              </w:rPr>
              <w:t>2018年12月</w:t>
            </w:r>
          </w:p>
        </w:tc>
        <w:tc>
          <w:tcPr>
            <w:tcW w:w="3092" w:type="dxa"/>
          </w:tcPr>
          <w:p>
            <w:r>
              <w:rPr>
                <w:rFonts w:hint="eastAsia" w:asciiTheme="minorEastAsia" w:hAnsiTheme="minorEastAsia" w:cstheme="minorEastAsia"/>
                <w:szCs w:val="21"/>
              </w:rPr>
              <w:t>本校城市发展研究中心、超星公司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《中国城事》（第一辑）</w:t>
            </w:r>
          </w:p>
        </w:tc>
        <w:tc>
          <w:tcPr>
            <w:tcW w:w="1749"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正式出版学习参考</w:t>
            </w:r>
          </w:p>
        </w:tc>
        <w:tc>
          <w:tcPr>
            <w:tcW w:w="1345" w:type="dxa"/>
          </w:tcPr>
          <w:p>
            <w:pPr>
              <w:adjustRightInd w:val="0"/>
              <w:snapToGrid w:val="0"/>
              <w:spacing w:line="340" w:lineRule="atLeast"/>
              <w:rPr>
                <w:rFonts w:hint="eastAsia" w:asciiTheme="minorEastAsia" w:hAnsiTheme="minorEastAsia" w:cstheme="minorEastAsia"/>
                <w:szCs w:val="21"/>
              </w:rPr>
            </w:pPr>
            <w:r>
              <w:rPr>
                <w:rFonts w:hint="eastAsia" w:asciiTheme="minorEastAsia" w:hAnsiTheme="minorEastAsia" w:cstheme="minorEastAsia"/>
                <w:szCs w:val="21"/>
              </w:rPr>
              <w:t>2019年3月</w:t>
            </w:r>
          </w:p>
        </w:tc>
        <w:tc>
          <w:tcPr>
            <w:tcW w:w="3092" w:type="dxa"/>
          </w:tcPr>
          <w:p>
            <w:r>
              <w:rPr>
                <w:rFonts w:hint="eastAsia"/>
              </w:rPr>
              <w:t>上海交通大学出版社</w:t>
            </w:r>
          </w:p>
        </w:tc>
      </w:tr>
    </w:tbl>
    <w:p>
      <w:pPr>
        <w:adjustRightInd w:val="0"/>
        <w:snapToGrid w:val="0"/>
        <w:spacing w:line="340" w:lineRule="atLeast"/>
        <w:ind w:firstLine="420" w:firstLineChars="200"/>
        <w:rPr>
          <w:rFonts w:asciiTheme="minorEastAsia" w:hAnsiTheme="minorEastAsia" w:cs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384645"/>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169AC"/>
    <w:rsid w:val="00022442"/>
    <w:rsid w:val="00057BD2"/>
    <w:rsid w:val="000C0A3F"/>
    <w:rsid w:val="000C3D19"/>
    <w:rsid w:val="000D1E45"/>
    <w:rsid w:val="000E7A86"/>
    <w:rsid w:val="000F415C"/>
    <w:rsid w:val="00150360"/>
    <w:rsid w:val="00162C77"/>
    <w:rsid w:val="00193244"/>
    <w:rsid w:val="001C0CB1"/>
    <w:rsid w:val="00226B6F"/>
    <w:rsid w:val="00235113"/>
    <w:rsid w:val="00270800"/>
    <w:rsid w:val="002803D3"/>
    <w:rsid w:val="0029435A"/>
    <w:rsid w:val="0033542D"/>
    <w:rsid w:val="003A170E"/>
    <w:rsid w:val="004549C5"/>
    <w:rsid w:val="004F2263"/>
    <w:rsid w:val="00570E53"/>
    <w:rsid w:val="005D09EF"/>
    <w:rsid w:val="005E68C9"/>
    <w:rsid w:val="00617BF3"/>
    <w:rsid w:val="006C11F4"/>
    <w:rsid w:val="006F0444"/>
    <w:rsid w:val="00707AF8"/>
    <w:rsid w:val="00733D88"/>
    <w:rsid w:val="00754D20"/>
    <w:rsid w:val="007D0FFC"/>
    <w:rsid w:val="007D228A"/>
    <w:rsid w:val="007F0C7E"/>
    <w:rsid w:val="007F3FEE"/>
    <w:rsid w:val="00813C60"/>
    <w:rsid w:val="00822E28"/>
    <w:rsid w:val="00856122"/>
    <w:rsid w:val="00870911"/>
    <w:rsid w:val="008B00E8"/>
    <w:rsid w:val="008F13FD"/>
    <w:rsid w:val="00902B3E"/>
    <w:rsid w:val="009230EA"/>
    <w:rsid w:val="00964CEF"/>
    <w:rsid w:val="00A052E0"/>
    <w:rsid w:val="00A17004"/>
    <w:rsid w:val="00A26D86"/>
    <w:rsid w:val="00A360CA"/>
    <w:rsid w:val="00A634D2"/>
    <w:rsid w:val="00A6532E"/>
    <w:rsid w:val="00A6780F"/>
    <w:rsid w:val="00A827B7"/>
    <w:rsid w:val="00AD5B18"/>
    <w:rsid w:val="00AF6611"/>
    <w:rsid w:val="00B20774"/>
    <w:rsid w:val="00B766CA"/>
    <w:rsid w:val="00BA5D3B"/>
    <w:rsid w:val="00C1183B"/>
    <w:rsid w:val="00C902F9"/>
    <w:rsid w:val="00C924EC"/>
    <w:rsid w:val="00CB0533"/>
    <w:rsid w:val="00CF0F81"/>
    <w:rsid w:val="00D2543A"/>
    <w:rsid w:val="00DA2655"/>
    <w:rsid w:val="00E148B4"/>
    <w:rsid w:val="00E749C7"/>
    <w:rsid w:val="00F35F79"/>
    <w:rsid w:val="00F40AD5"/>
    <w:rsid w:val="00F942C6"/>
    <w:rsid w:val="065507BE"/>
    <w:rsid w:val="0B7423FF"/>
    <w:rsid w:val="0E1C013A"/>
    <w:rsid w:val="0F3278E8"/>
    <w:rsid w:val="16F73C1F"/>
    <w:rsid w:val="18C2115F"/>
    <w:rsid w:val="1CC74932"/>
    <w:rsid w:val="21F719FB"/>
    <w:rsid w:val="23F01F7C"/>
    <w:rsid w:val="2942555B"/>
    <w:rsid w:val="299F3180"/>
    <w:rsid w:val="2B480FDD"/>
    <w:rsid w:val="2E5F68CC"/>
    <w:rsid w:val="2EE61171"/>
    <w:rsid w:val="334D3BBA"/>
    <w:rsid w:val="357F40BE"/>
    <w:rsid w:val="3D401AE6"/>
    <w:rsid w:val="3DA44D67"/>
    <w:rsid w:val="430A1412"/>
    <w:rsid w:val="435C56AD"/>
    <w:rsid w:val="46CF5AAA"/>
    <w:rsid w:val="482B3323"/>
    <w:rsid w:val="49CC1EFE"/>
    <w:rsid w:val="4A036583"/>
    <w:rsid w:val="50DE15F8"/>
    <w:rsid w:val="56391C38"/>
    <w:rsid w:val="5A4941A9"/>
    <w:rsid w:val="5E6C4B94"/>
    <w:rsid w:val="5FDE2967"/>
    <w:rsid w:val="60577159"/>
    <w:rsid w:val="69A353B7"/>
    <w:rsid w:val="6A2C4955"/>
    <w:rsid w:val="6CE169AC"/>
    <w:rsid w:val="6D535020"/>
    <w:rsid w:val="6D6542A5"/>
    <w:rsid w:val="756A5F7A"/>
    <w:rsid w:val="78C14745"/>
    <w:rsid w:val="7CF1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560" w:firstLineChars="200"/>
    </w:pPr>
    <w:rPr>
      <w:rFonts w:ascii="华文仿宋" w:hAnsi="华文仿宋" w:eastAsia="华文仿宋"/>
      <w:sz w:val="2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unhideWhenUsed/>
    <w:qFormat/>
    <w:uiPriority w:val="34"/>
    <w:pPr>
      <w:ind w:firstLine="420" w:firstLineChars="200"/>
    </w:p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HAO-KKL8I7E6TR0\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877</Words>
  <Characters>5005</Characters>
  <Lines>41</Lines>
  <Paragraphs>11</Paragraphs>
  <TotalTime>200</TotalTime>
  <ScaleCrop>false</ScaleCrop>
  <LinksUpToDate>false</LinksUpToDate>
  <CharactersWithSpaces>5871</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2018-11-07T13:51:00Z</dcterms:created>
  <dc:creator>诗露花雨</dc:creator>
  <cp:lastModifiedBy>诗露花雨</cp:lastModifiedBy>
  <dcterms:modified xsi:type="dcterms:W3CDTF">2018-12-06T14:30:45Z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