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黑体" w:hAnsi="黑体" w:eastAsia="黑体" w:cs="黑体"/>
          <w:color w:val="auto"/>
          <w:sz w:val="32"/>
          <w:szCs w:val="32"/>
        </w:rPr>
      </w:pPr>
      <w:bookmarkStart w:id="0" w:name="_GoBack"/>
      <w:r>
        <w:rPr>
          <w:rFonts w:hint="eastAsia" w:ascii="黑体" w:hAnsi="黑体" w:eastAsia="黑体" w:cs="黑体"/>
          <w:color w:val="auto"/>
          <w:sz w:val="32"/>
          <w:szCs w:val="32"/>
        </w:rPr>
        <w:t>文物修复与保护专业</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rPr>
        <w:t>课程思政</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rPr>
        <w:t>建设方案</w:t>
      </w:r>
    </w:p>
    <w:bookmarkEnd w:id="0"/>
    <w:p>
      <w:pPr>
        <w:spacing w:line="312" w:lineRule="auto"/>
        <w:ind w:firstLine="1680" w:firstLineChars="700"/>
        <w:rPr>
          <w:rFonts w:asciiTheme="minorEastAsia" w:hAnsiTheme="minorEastAsia" w:cstheme="minorEastAsia"/>
          <w:color w:val="auto"/>
          <w:sz w:val="24"/>
        </w:rPr>
      </w:pPr>
      <w:r>
        <w:rPr>
          <w:rFonts w:hint="eastAsia" w:asciiTheme="minorEastAsia" w:hAnsiTheme="minorEastAsia" w:cstheme="minorEastAsia"/>
          <w:color w:val="auto"/>
          <w:sz w:val="24"/>
        </w:rPr>
        <w:t>（建筑与环境艺术学院学院   专业负责人：赵慧群）</w:t>
      </w:r>
    </w:p>
    <w:p>
      <w:pPr>
        <w:spacing w:line="312" w:lineRule="auto"/>
        <w:rPr>
          <w:rFonts w:asciiTheme="majorEastAsia" w:hAnsiTheme="majorEastAsia" w:eastAsiaTheme="majorEastAsia" w:cstheme="majorEastAsia"/>
          <w:color w:val="auto"/>
          <w:sz w:val="24"/>
        </w:rPr>
      </w:pPr>
    </w:p>
    <w:p>
      <w:pPr>
        <w:spacing w:line="312" w:lineRule="auto"/>
        <w:ind w:firstLine="562" w:firstLineChars="200"/>
        <w:rPr>
          <w:rFonts w:ascii="黑体" w:hAnsi="黑体" w:eastAsia="黑体" w:cs="黑体"/>
          <w:color w:val="auto"/>
          <w:sz w:val="28"/>
          <w:szCs w:val="28"/>
        </w:rPr>
      </w:pPr>
      <w:r>
        <w:rPr>
          <w:rFonts w:hint="eastAsia" w:ascii="黑体" w:hAnsi="黑体" w:eastAsia="黑体" w:cs="黑体"/>
          <w:b/>
          <w:bCs/>
          <w:color w:val="auto"/>
          <w:sz w:val="28"/>
          <w:szCs w:val="28"/>
        </w:rPr>
        <w:t>一、建设基础</w:t>
      </w:r>
    </w:p>
    <w:p>
      <w:pPr>
        <w:spacing w:line="312" w:lineRule="auto"/>
        <w:ind w:left="280"/>
        <w:rPr>
          <w:rFonts w:cs="黑体" w:asciiTheme="minorEastAsia" w:hAnsiTheme="minorEastAsia"/>
          <w:b/>
          <w:color w:val="auto"/>
          <w:sz w:val="24"/>
        </w:rPr>
      </w:pPr>
      <w:r>
        <w:rPr>
          <w:rFonts w:hint="eastAsia" w:cs="黑体" w:asciiTheme="minorEastAsia" w:hAnsiTheme="minorEastAsia"/>
          <w:b/>
          <w:color w:val="auto"/>
          <w:sz w:val="24"/>
        </w:rPr>
        <w:t>（一）人才培养目标</w:t>
      </w:r>
    </w:p>
    <w:p>
      <w:pPr>
        <w:spacing w:line="312" w:lineRule="auto"/>
        <w:ind w:firstLine="480" w:firstLineChars="200"/>
        <w:rPr>
          <w:rFonts w:ascii="宋体" w:hAnsi="宋体" w:cs="宋体"/>
          <w:color w:val="auto"/>
          <w:sz w:val="24"/>
        </w:rPr>
      </w:pPr>
      <w:r>
        <w:rPr>
          <w:rFonts w:hint="eastAsia" w:ascii="宋体" w:hAnsi="宋体" w:cs="宋体"/>
          <w:color w:val="auto"/>
          <w:sz w:val="24"/>
        </w:rPr>
        <w:t>培养具有较强的思想政治素质与综合素养，适应当代文博工作需要，掌握文物修复与保护、文物鉴赏与管理等专业理论知识，熟悉文物修复保护、文物鉴赏与管理的传统方法与现代科学的新技术、新方法，具备纸质类（书画、古籍）和立体三维类（陶瓷、青铜）文物修复与保护、文物管理与市场利用能力，能从事文物修复保护、鉴赏和管理等岗位的高素质应用技术型人才。</w:t>
      </w:r>
    </w:p>
    <w:p>
      <w:pPr>
        <w:spacing w:line="312" w:lineRule="auto"/>
        <w:ind w:left="280"/>
        <w:rPr>
          <w:rFonts w:cs="黑体" w:asciiTheme="minorEastAsia" w:hAnsiTheme="minorEastAsia"/>
          <w:b/>
          <w:color w:val="auto"/>
          <w:sz w:val="24"/>
        </w:rPr>
      </w:pPr>
      <w:r>
        <w:rPr>
          <w:rFonts w:hint="eastAsia" w:cs="黑体" w:asciiTheme="minorEastAsia" w:hAnsiTheme="minorEastAsia"/>
          <w:b/>
          <w:color w:val="auto"/>
          <w:sz w:val="24"/>
        </w:rPr>
        <w:t>（二）课程体系建设</w:t>
      </w:r>
    </w:p>
    <w:p>
      <w:pPr>
        <w:spacing w:line="312" w:lineRule="auto"/>
        <w:ind w:firstLine="480" w:firstLineChars="200"/>
        <w:rPr>
          <w:rFonts w:ascii="宋体" w:hAnsi="宋体" w:cs="宋体"/>
          <w:color w:val="auto"/>
          <w:sz w:val="24"/>
        </w:rPr>
      </w:pPr>
      <w:r>
        <w:rPr>
          <w:rFonts w:hint="eastAsia" w:ascii="宋体" w:hAnsi="宋体" w:cs="宋体"/>
          <w:color w:val="auto"/>
          <w:sz w:val="24"/>
        </w:rPr>
        <w:t>依据文物修复与保护专业人才培养目标、文物修复师国家与行业职业标准，行业工作岗位任务和岗位技能要求，学校和工作室共同建设专业课程体系，开发专业教学内容和教材。为适应多能一专产教融合项目型大师工作室人才培养模式的需求，调整课程排序，强化核心技能的培养。</w:t>
      </w:r>
    </w:p>
    <w:p>
      <w:pPr>
        <w:spacing w:line="312" w:lineRule="auto"/>
        <w:jc w:val="center"/>
        <w:rPr>
          <w:rFonts w:asciiTheme="minorEastAsia" w:hAnsiTheme="minorEastAsia" w:cstheme="minorEastAsia"/>
          <w:color w:val="auto"/>
        </w:rPr>
      </w:pPr>
      <w:r>
        <w:rPr>
          <w:rFonts w:hint="eastAsia" w:asciiTheme="minorEastAsia" w:hAnsiTheme="minorEastAsia" w:cstheme="minorEastAsia"/>
          <w:color w:val="auto"/>
        </w:rPr>
        <w:drawing>
          <wp:anchor distT="0" distB="0" distL="114300" distR="114300" simplePos="0" relativeHeight="251712512" behindDoc="0" locked="0" layoutInCell="1" allowOverlap="1">
            <wp:simplePos x="0" y="0"/>
            <wp:positionH relativeFrom="column">
              <wp:posOffset>913765</wp:posOffset>
            </wp:positionH>
            <wp:positionV relativeFrom="paragraph">
              <wp:posOffset>156845</wp:posOffset>
            </wp:positionV>
            <wp:extent cx="2886710" cy="1662430"/>
            <wp:effectExtent l="0" t="0" r="8890" b="13970"/>
            <wp:wrapTopAndBottom/>
            <wp:docPr id="307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 name="图片 6"/>
                    <pic:cNvPicPr>
                      <a:picLocks noChangeAspect="1"/>
                    </pic:cNvPicPr>
                  </pic:nvPicPr>
                  <pic:blipFill>
                    <a:blip r:embed="rId4"/>
                    <a:srcRect l="2651" t="17547" r="24873" b="8255"/>
                    <a:stretch>
                      <a:fillRect/>
                    </a:stretch>
                  </pic:blipFill>
                  <pic:spPr>
                    <a:xfrm>
                      <a:off x="0" y="0"/>
                      <a:ext cx="2886710" cy="1662430"/>
                    </a:xfrm>
                    <a:prstGeom prst="rect">
                      <a:avLst/>
                    </a:prstGeom>
                    <a:noFill/>
                    <a:ln w="9525">
                      <a:noFill/>
                    </a:ln>
                  </pic:spPr>
                </pic:pic>
              </a:graphicData>
            </a:graphic>
          </wp:anchor>
        </w:drawing>
      </w:r>
      <w:r>
        <w:rPr>
          <w:rFonts w:hint="eastAsia" w:asciiTheme="minorEastAsia" w:hAnsiTheme="minorEastAsia" w:cstheme="minorEastAsia"/>
          <w:color w:val="auto"/>
        </w:rPr>
        <w:t>图1  专业人才培养课程体系</w:t>
      </w:r>
    </w:p>
    <w:p>
      <w:pPr>
        <w:spacing w:line="312" w:lineRule="auto"/>
        <w:ind w:firstLine="480" w:firstLineChars="200"/>
        <w:rPr>
          <w:rFonts w:ascii="宋体" w:hAnsi="宋体"/>
          <w:color w:val="auto"/>
          <w:sz w:val="24"/>
        </w:rPr>
      </w:pPr>
      <w:r>
        <w:rPr>
          <w:rFonts w:hint="eastAsia" w:ascii="宋体" w:hAnsi="宋体" w:cs="宋体"/>
          <w:color w:val="auto"/>
          <w:sz w:val="24"/>
        </w:rPr>
        <w:t>根据岗位技能的难易程度，对学生</w:t>
      </w:r>
      <w:r>
        <w:rPr>
          <w:rFonts w:hint="eastAsia" w:ascii="宋体" w:hAnsi="宋体"/>
          <w:color w:val="auto"/>
          <w:sz w:val="24"/>
        </w:rPr>
        <w:t>专业岗位所对应的主要操作技能的培训，采取由简到难、分层教学、逐级递进的方式进行。书画、古籍、陶瓷、青铜四大核心修复技术专项能力培养课程体系是从模拟训练、初级难度到中高级难度逐级递进方式进行，实现了校内职业技术能力培养与行业产教深度融合。</w:t>
      </w:r>
    </w:p>
    <w:p>
      <w:pPr>
        <w:spacing w:line="312" w:lineRule="auto"/>
        <w:ind w:firstLine="480" w:firstLineChars="200"/>
        <w:rPr>
          <w:rFonts w:ascii="宋体" w:hAnsi="宋体"/>
          <w:color w:val="auto"/>
          <w:sz w:val="24"/>
        </w:rPr>
      </w:pPr>
      <w:r>
        <w:rPr>
          <w:rFonts w:hint="eastAsia" w:ascii="宋体" w:hAnsi="宋体"/>
          <w:color w:val="auto"/>
          <w:sz w:val="24"/>
        </w:rPr>
        <w:t>逐级递进式项目化课程体系是实现依托项目型大师工作室进行深度产教融合探索和实践的支柱，对师资团队要求极高，为此专业采取了一系列的措施和制度保障，努力打造一支以行业文物修复专家为核心，校内骨干教师为支撑的教学团队，共同完成人才培养任务。该课程体系为行业机构制定定向式技术服务标准，实现校内职业技术能力与行业实际岗位需求同步化培养。</w:t>
      </w:r>
    </w:p>
    <w:p>
      <w:pPr>
        <w:spacing w:line="312" w:lineRule="auto"/>
        <w:ind w:firstLine="420" w:firstLineChars="200"/>
        <w:rPr>
          <w:rFonts w:ascii="宋体" w:hAnsi="宋体"/>
          <w:color w:val="auto"/>
          <w:sz w:val="24"/>
        </w:rPr>
      </w:pPr>
      <w:r>
        <w:rPr>
          <w:color w:val="auto"/>
        </w:rPr>
        <w:drawing>
          <wp:anchor distT="0" distB="0" distL="114300" distR="114300" simplePos="0" relativeHeight="251711488" behindDoc="1" locked="0" layoutInCell="1" allowOverlap="1">
            <wp:simplePos x="0" y="0"/>
            <wp:positionH relativeFrom="column">
              <wp:posOffset>647700</wp:posOffset>
            </wp:positionH>
            <wp:positionV relativeFrom="paragraph">
              <wp:posOffset>12700</wp:posOffset>
            </wp:positionV>
            <wp:extent cx="3050540" cy="1971675"/>
            <wp:effectExtent l="0" t="0" r="16510" b="9525"/>
            <wp:wrapTight wrapText="bothSides">
              <wp:wrapPolygon>
                <wp:start x="0" y="0"/>
                <wp:lineTo x="0" y="21496"/>
                <wp:lineTo x="21447" y="21496"/>
                <wp:lineTo x="21447" y="0"/>
                <wp:lineTo x="0" y="0"/>
              </wp:wrapPolygon>
            </wp:wrapTight>
            <wp:docPr id="1073742967" name="图片 107374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967" name="图片 1073742966"/>
                    <pic:cNvPicPr>
                      <a:picLocks noChangeAspect="1"/>
                    </pic:cNvPicPr>
                  </pic:nvPicPr>
                  <pic:blipFill>
                    <a:blip r:embed="rId5"/>
                    <a:stretch>
                      <a:fillRect/>
                    </a:stretch>
                  </pic:blipFill>
                  <pic:spPr>
                    <a:xfrm>
                      <a:off x="0" y="0"/>
                      <a:ext cx="3050540" cy="1971675"/>
                    </a:xfrm>
                    <a:prstGeom prst="rect">
                      <a:avLst/>
                    </a:prstGeom>
                    <a:noFill/>
                    <a:ln w="9525">
                      <a:noFill/>
                    </a:ln>
                  </pic:spPr>
                </pic:pic>
              </a:graphicData>
            </a:graphic>
          </wp:anchor>
        </w:drawing>
      </w:r>
    </w:p>
    <w:p>
      <w:pPr>
        <w:spacing w:line="312" w:lineRule="auto"/>
        <w:ind w:firstLine="480" w:firstLineChars="200"/>
        <w:rPr>
          <w:rFonts w:ascii="宋体" w:hAnsi="宋体"/>
          <w:color w:val="auto"/>
          <w:sz w:val="24"/>
        </w:rPr>
      </w:pPr>
    </w:p>
    <w:p>
      <w:pPr>
        <w:spacing w:line="312" w:lineRule="auto"/>
        <w:ind w:firstLine="480" w:firstLineChars="200"/>
        <w:rPr>
          <w:rFonts w:ascii="宋体" w:hAnsi="宋体"/>
          <w:color w:val="auto"/>
          <w:sz w:val="24"/>
        </w:rPr>
      </w:pPr>
    </w:p>
    <w:p>
      <w:pPr>
        <w:spacing w:line="312" w:lineRule="auto"/>
        <w:ind w:firstLine="480" w:firstLineChars="200"/>
        <w:rPr>
          <w:rFonts w:ascii="宋体" w:hAnsi="宋体"/>
          <w:color w:val="auto"/>
          <w:sz w:val="24"/>
        </w:rPr>
      </w:pPr>
    </w:p>
    <w:p>
      <w:pPr>
        <w:spacing w:line="312" w:lineRule="auto"/>
        <w:ind w:firstLine="480" w:firstLineChars="200"/>
        <w:rPr>
          <w:rFonts w:ascii="宋体" w:hAnsi="宋体"/>
          <w:color w:val="auto"/>
          <w:sz w:val="24"/>
        </w:rPr>
      </w:pPr>
    </w:p>
    <w:p>
      <w:pPr>
        <w:spacing w:line="312" w:lineRule="auto"/>
        <w:rPr>
          <w:rFonts w:ascii="宋体" w:hAnsi="宋体"/>
          <w:color w:val="auto"/>
          <w:sz w:val="24"/>
        </w:rPr>
      </w:pPr>
    </w:p>
    <w:p>
      <w:pPr>
        <w:spacing w:line="312" w:lineRule="auto"/>
        <w:ind w:firstLine="480" w:firstLineChars="200"/>
        <w:rPr>
          <w:rFonts w:ascii="宋体" w:hAnsi="宋体"/>
          <w:color w:val="auto"/>
          <w:sz w:val="24"/>
        </w:rPr>
      </w:pPr>
    </w:p>
    <w:p>
      <w:pPr>
        <w:spacing w:line="312" w:lineRule="auto"/>
        <w:rPr>
          <w:rFonts w:ascii="宋体" w:hAnsi="宋体"/>
          <w:color w:val="auto"/>
          <w:sz w:val="24"/>
        </w:rPr>
      </w:pPr>
    </w:p>
    <w:p>
      <w:pPr>
        <w:spacing w:line="312" w:lineRule="auto"/>
        <w:ind w:firstLine="2100" w:firstLineChars="1000"/>
        <w:jc w:val="both"/>
        <w:rPr>
          <w:rFonts w:asciiTheme="minorEastAsia" w:hAnsiTheme="minorEastAsia" w:cstheme="minorEastAsia"/>
          <w:color w:val="auto"/>
        </w:rPr>
      </w:pPr>
      <w:r>
        <w:rPr>
          <w:rFonts w:hint="eastAsia" w:asciiTheme="minorEastAsia" w:hAnsiTheme="minorEastAsia" w:cstheme="minorEastAsia"/>
          <w:color w:val="auto"/>
        </w:rPr>
        <w:t>图2  逐级递进式课程体系</w:t>
      </w:r>
    </w:p>
    <w:p>
      <w:pPr>
        <w:spacing w:line="312" w:lineRule="auto"/>
        <w:ind w:left="280"/>
        <w:rPr>
          <w:rFonts w:cs="黑体" w:asciiTheme="minorEastAsia" w:hAnsiTheme="minorEastAsia"/>
          <w:b/>
          <w:color w:val="auto"/>
          <w:sz w:val="24"/>
        </w:rPr>
      </w:pPr>
      <w:r>
        <w:rPr>
          <w:rFonts w:hint="eastAsia" w:cs="黑体" w:asciiTheme="minorEastAsia" w:hAnsiTheme="minorEastAsia"/>
          <w:b/>
          <w:color w:val="auto"/>
          <w:sz w:val="24"/>
        </w:rPr>
        <w:t>（三）人才培养质量</w:t>
      </w:r>
    </w:p>
    <w:p>
      <w:pPr>
        <w:spacing w:line="312" w:lineRule="auto"/>
        <w:ind w:firstLine="480" w:firstLineChars="200"/>
        <w:rPr>
          <w:rFonts w:ascii="宋体" w:hAnsi="宋体"/>
          <w:color w:val="auto"/>
          <w:sz w:val="24"/>
        </w:rPr>
      </w:pPr>
      <w:r>
        <w:rPr>
          <w:rFonts w:hint="eastAsia" w:ascii="宋体" w:hAnsi="宋体"/>
          <w:color w:val="auto"/>
          <w:sz w:val="24"/>
        </w:rPr>
        <w:t>本专业2006年以文物鉴定与修复（2016年教育部更名为文物修复与保护）名称开设以来，得到了社会和高职教育界的广泛认可。毕业生多分布于档案馆、博物馆、拍卖行、古玩城、艺术品经营机构等对口单位，有些学生已成为用人单位的业务骨干。由于良好的职业素养和扎实的职业能力，文物鉴定与修复（文物修复与保护专业暂无毕业生）专业的毕业生表现出良好的发展后劲，已在上海古玩界开始崭露头角，部分已成为用人单位的业务骨干。如上海三大古玩城（中福、云州、多宝）的总经理助理均为我院毕业生，上海拍卖行有限责任公司、上海嘉泰拍卖有限公司的业务主管均为我院毕业生，而其他省市的毕业生在修复保护及管理岗位已成为技术骨干。以2018届学生统计，由于毕业生良好的职业素养和扎实的职业能力，受到国家文物局水下中心、南海1号项目组、苏州市考古研究所、上海博物馆、西安考古研究院泾渭基地、沈阳文物考古研究所、河南省考古研究院、上海档案馆、甘肃省图书馆、陇西县档案局、海派美术馆、乒乓球博物馆、西安望宸阁修复有限公司、上海拍卖行有限责任公司、上海嘉泰拍卖有限公司、云州古玩城、上海文博艺术品公司、老凤祥金店、亚一金店等众多用人单位和实习单位的肯定与好评。</w:t>
      </w:r>
    </w:p>
    <w:p>
      <w:pPr>
        <w:spacing w:line="312" w:lineRule="auto"/>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二、育人目标</w:t>
      </w:r>
    </w:p>
    <w:p>
      <w:pPr>
        <w:spacing w:line="312" w:lineRule="auto"/>
        <w:ind w:firstLine="480" w:firstLineChars="200"/>
        <w:rPr>
          <w:rFonts w:ascii="宋体" w:hAnsi="宋体"/>
          <w:color w:val="auto"/>
          <w:sz w:val="24"/>
        </w:rPr>
      </w:pPr>
      <w:r>
        <w:rPr>
          <w:rFonts w:hint="eastAsia" w:ascii="宋体" w:hAnsi="宋体"/>
          <w:color w:val="auto"/>
          <w:sz w:val="24"/>
        </w:rPr>
        <w:t>文物修复与保护专业的工作对象为文物，其最大的特征是不可再生性和不可替代性，一旦毁坏一件或一处，就永远失去一件或一处，就永远失去一件或一处文明或历史的见证物和象征物。因此文物行业对从业者有严格的职业标准和要求，在文物从业人员十守则中，其核心要求就是“爱护文物，要象战士爱护武器一样，千方百计确保文物不受损伤”、“严禁将文物化公为私、监守自盗、礼品馈赠、倒买倒卖”。</w:t>
      </w:r>
    </w:p>
    <w:p>
      <w:pPr>
        <w:spacing w:line="312" w:lineRule="auto"/>
        <w:ind w:firstLine="480" w:firstLineChars="200"/>
        <w:rPr>
          <w:rFonts w:ascii="宋体" w:hAnsi="宋体"/>
          <w:color w:val="auto"/>
          <w:sz w:val="24"/>
        </w:rPr>
      </w:pPr>
      <w:r>
        <w:rPr>
          <w:rFonts w:hint="eastAsia" w:ascii="宋体" w:hAnsi="宋体"/>
          <w:color w:val="auto"/>
          <w:sz w:val="24"/>
        </w:rPr>
        <w:t>基于以上文物特性及行业要求，结合专业人才培养目前，确定文物修复与保护专业思政课程的育人目标：秉承尊重原貌、诚实守信的价值理念，培养德技双精，具有工匠精神，使学生成为掌握科学处理方法的修复工匠、能治病救物的文物医生。</w:t>
      </w:r>
    </w:p>
    <w:p>
      <w:pPr>
        <w:spacing w:line="312" w:lineRule="auto"/>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三、建设内容</w:t>
      </w:r>
    </w:p>
    <w:p>
      <w:pPr>
        <w:spacing w:line="312" w:lineRule="auto"/>
        <w:ind w:firstLine="480" w:firstLineChars="200"/>
        <w:rPr>
          <w:rFonts w:ascii="宋体" w:hAnsi="宋体"/>
          <w:color w:val="auto"/>
          <w:sz w:val="24"/>
        </w:rPr>
      </w:pPr>
      <w:r>
        <w:rPr>
          <w:rFonts w:hint="eastAsia" w:ascii="宋体" w:hAnsi="宋体"/>
          <w:color w:val="auto"/>
          <w:sz w:val="24"/>
        </w:rPr>
        <w:t>以点带面，以滋润如春雨、育人细无声的“春雨”计划实施碎片化职业精神和职业能力培养。将春雨灌溉计划贯穿于整个人才培养方案、课程体系、课程设计及教风学风管理。从实训环境、实验要求、操作标准、安全规范、细节处理、岗位职责等诸多方面对学生进行思政教育，于无声处细育人，将“尊重原貌、诚实守信、执着专注、作风严谨、精益求精、推陈出新”的工匠精神细化到课程知识与能力的每个重点，使得学生专业能力与技术厚积薄发、术业初成。</w:t>
      </w:r>
    </w:p>
    <w:p>
      <w:pPr>
        <w:spacing w:line="312" w:lineRule="auto"/>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四、建设措施</w:t>
      </w:r>
    </w:p>
    <w:p>
      <w:pPr>
        <w:spacing w:line="312" w:lineRule="auto"/>
        <w:ind w:firstLine="480" w:firstLineChars="200"/>
        <w:rPr>
          <w:rFonts w:ascii="宋体" w:hAnsi="宋体" w:cs="宋体"/>
          <w:color w:val="auto"/>
          <w:sz w:val="24"/>
        </w:rPr>
      </w:pPr>
      <w:r>
        <w:rPr>
          <w:rFonts w:hint="eastAsia" w:ascii="宋体" w:hAnsi="宋体" w:cs="宋体"/>
          <w:color w:val="auto"/>
          <w:sz w:val="24"/>
        </w:rPr>
        <w:t>文物修复与保护专业思政课程建设从顶层设计到基础元件以一体化的建设措施进行。</w:t>
      </w:r>
    </w:p>
    <w:p>
      <w:pPr>
        <w:spacing w:line="312" w:lineRule="auto"/>
        <w:ind w:firstLine="482" w:firstLineChars="200"/>
        <w:rPr>
          <w:rFonts w:ascii="黑体" w:hAnsi="黑体" w:eastAsia="黑体" w:cs="黑体"/>
          <w:color w:val="auto"/>
          <w:sz w:val="28"/>
          <w:szCs w:val="28"/>
        </w:rPr>
      </w:pPr>
      <w:r>
        <w:rPr>
          <w:rFonts w:hint="eastAsia" w:cs="黑体" w:asciiTheme="minorEastAsia" w:hAnsiTheme="minorEastAsia"/>
          <w:b/>
          <w:color w:val="auto"/>
          <w:sz w:val="24"/>
        </w:rPr>
        <w:t>（一）</w:t>
      </w:r>
      <w:r>
        <w:rPr>
          <w:rFonts w:hint="eastAsia" w:ascii="黑体" w:hAnsi="黑体" w:eastAsia="黑体" w:cs="黑体"/>
          <w:color w:val="auto"/>
          <w:sz w:val="28"/>
          <w:szCs w:val="28"/>
        </w:rPr>
        <w:t>顶层设计</w:t>
      </w:r>
    </w:p>
    <w:p>
      <w:pPr>
        <w:spacing w:line="312" w:lineRule="auto"/>
        <w:ind w:firstLine="480" w:firstLineChars="200"/>
        <w:rPr>
          <w:rFonts w:ascii="宋体" w:hAnsi="宋体" w:cs="宋体"/>
          <w:color w:val="auto"/>
          <w:sz w:val="24"/>
        </w:rPr>
      </w:pPr>
      <w:r>
        <w:rPr>
          <w:rFonts w:hint="eastAsia" w:ascii="宋体" w:hAnsi="宋体" w:cs="宋体"/>
          <w:color w:val="auto"/>
          <w:sz w:val="24"/>
        </w:rPr>
        <w:t>将课程思政总方针——春雨计划纳入人才培养方案，将</w:t>
      </w:r>
      <w:r>
        <w:rPr>
          <w:rFonts w:hint="eastAsia" w:ascii="Times New Roman" w:hAnsi="Times New Roman" w:eastAsia="宋体" w:cs="Times New Roman"/>
          <w:color w:val="auto"/>
          <w:sz w:val="24"/>
        </w:rPr>
        <w:t>文物行业动态发展变化中的新要求、新理念写入春雨计划，构建“筑梦、传承、创新、教育”的课程教学主线，实现传统修复技艺教授向课程思政型教学方式改革</w:t>
      </w:r>
      <w:r>
        <w:rPr>
          <w:rFonts w:hint="eastAsia" w:cs="Times New Roman"/>
          <w:color w:val="auto"/>
          <w:sz w:val="24"/>
        </w:rPr>
        <w:t>，培养学生持续学习和终身学习意志，</w:t>
      </w:r>
      <w:r>
        <w:rPr>
          <w:rFonts w:hint="eastAsia" w:ascii="宋体" w:hAnsi="宋体" w:cs="宋体"/>
          <w:color w:val="auto"/>
          <w:sz w:val="24"/>
        </w:rPr>
        <w:t>强化学生职业获得感和民族自豪感的培养。</w:t>
      </w:r>
    </w:p>
    <w:p>
      <w:pPr>
        <w:spacing w:line="312" w:lineRule="auto"/>
        <w:ind w:firstLine="482" w:firstLineChars="200"/>
        <w:rPr>
          <w:rFonts w:ascii="黑体" w:hAnsi="黑体" w:eastAsia="黑体" w:cs="黑体"/>
          <w:color w:val="auto"/>
          <w:sz w:val="28"/>
          <w:szCs w:val="28"/>
        </w:rPr>
      </w:pPr>
      <w:r>
        <w:rPr>
          <w:rFonts w:hint="eastAsia" w:cs="黑体" w:asciiTheme="minorEastAsia" w:hAnsiTheme="minorEastAsia"/>
          <w:b/>
          <w:color w:val="auto"/>
          <w:sz w:val="24"/>
        </w:rPr>
        <w:t>（二）</w:t>
      </w:r>
      <w:r>
        <w:rPr>
          <w:rFonts w:hint="eastAsia" w:ascii="黑体" w:hAnsi="黑体" w:eastAsia="黑体" w:cs="黑体"/>
          <w:color w:val="auto"/>
          <w:sz w:val="28"/>
          <w:szCs w:val="28"/>
        </w:rPr>
        <w:t>基础元件设计</w:t>
      </w:r>
    </w:p>
    <w:p>
      <w:pPr>
        <w:spacing w:line="312" w:lineRule="auto"/>
        <w:ind w:firstLine="480" w:firstLineChars="200"/>
        <w:rPr>
          <w:rFonts w:ascii="宋体" w:hAnsi="宋体" w:cs="宋体"/>
          <w:color w:val="auto"/>
          <w:sz w:val="24"/>
        </w:rPr>
      </w:pPr>
      <w:r>
        <w:rPr>
          <w:rFonts w:hint="eastAsia" w:ascii="宋体" w:hAnsi="宋体" w:cs="宋体"/>
          <w:color w:val="auto"/>
          <w:sz w:val="24"/>
        </w:rPr>
        <w:t>在春雨计划的整体设计指导下，从“实训环境要求严、培养方案规格明、职业素养制度全、行规内容课课讲、职业要求处处见、现场保护制度约”六个基础元件确保职业精神与育人要求细无声的培养。</w:t>
      </w:r>
    </w:p>
    <w:p>
      <w:pPr>
        <w:spacing w:line="312" w:lineRule="auto"/>
        <w:ind w:firstLine="480" w:firstLineChars="200"/>
        <w:rPr>
          <w:rFonts w:ascii="宋体" w:hAnsi="宋体" w:cs="宋体"/>
          <w:color w:val="auto"/>
          <w:sz w:val="24"/>
        </w:rPr>
      </w:pPr>
      <w:r>
        <w:rPr>
          <w:rFonts w:hint="eastAsia" w:ascii="宋体" w:hAnsi="宋体" w:cs="宋体"/>
          <w:color w:val="auto"/>
          <w:sz w:val="24"/>
        </w:rPr>
        <w:t>文物修复与保护专业有5个教学工场和4个大师工作室，正在进行一体化实验室整体改建方案，因此实验室的管理是职业素质养成基地，为此实训室实施以整理、整顿、清扫、清洁、素养、安全、节约为核心的7S管理。为更好地进行职业精神和素质培养，将文物行业从业者核心要求纳入人才培养方案，并明确地细化职业素质要求，同时专业在各个实践环节都有严格的规章管理制度。文物修复与保护专业四大核心能力课程体系均为应用技术型，有严格的行业操作规范和要求，技术应用必须和行业规范融为一体方能符合实际岗位需求，因此在实际授课过程中由行业大师或专家亲自示范，并从身边的人和事着手，以正反双例、点滴入微地讲解技术要求和操作规范。同时在各个实验室醒目位置，以标语、展板、案例陈展等方式将职业要求和规范展示在学生的视线内，双管其下地进行职业规范与专业技术能力培养。文物修复与保护专业有大量的社会服务项目，很多为现场修复与保护，从操作规范、技术安全、文物安全到从业者安全，校内校外都有一系列制度约束和保障，真正实现深度产教融合、校内校外双主体育人目标。</w:t>
      </w:r>
    </w:p>
    <w:p>
      <w:pPr>
        <w:spacing w:line="312" w:lineRule="auto"/>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五、预期成效</w:t>
      </w:r>
    </w:p>
    <w:p>
      <w:pPr>
        <w:spacing w:line="312" w:lineRule="auto"/>
        <w:ind w:firstLine="480" w:firstLineChars="200"/>
        <w:rPr>
          <w:rFonts w:ascii="宋体" w:hAnsi="宋体" w:cs="宋体"/>
          <w:color w:val="auto"/>
          <w:sz w:val="24"/>
        </w:rPr>
      </w:pPr>
      <w:r>
        <w:rPr>
          <w:rFonts w:hint="eastAsia" w:ascii="宋体" w:hAnsi="宋体" w:cs="宋体"/>
          <w:color w:val="auto"/>
          <w:sz w:val="24"/>
        </w:rPr>
        <w:t>文物修复与保护专业通过思政课程建设，将在四个方面取得预期效果：春雨计划成机制、课程体系全覆盖、重大项目共育人、人才质量提升快。</w:t>
      </w:r>
    </w:p>
    <w:p>
      <w:pPr>
        <w:spacing w:line="312" w:lineRule="auto"/>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六、阶段性成果</w:t>
      </w:r>
    </w:p>
    <w:p>
      <w:pPr>
        <w:spacing w:line="312" w:lineRule="auto"/>
        <w:ind w:firstLine="480" w:firstLineChars="200"/>
        <w:rPr>
          <w:rFonts w:ascii="宋体" w:hAnsi="宋体" w:cs="宋体"/>
          <w:color w:val="auto"/>
          <w:sz w:val="24"/>
        </w:rPr>
      </w:pPr>
      <w:r>
        <w:rPr>
          <w:rFonts w:hint="eastAsia" w:ascii="宋体" w:hAnsi="宋体" w:cs="宋体"/>
          <w:color w:val="auto"/>
          <w:sz w:val="24"/>
        </w:rPr>
        <w:t>目前文物修复与保护专业在思政课程建设上取得的阶段性成果主要有以下方面：</w:t>
      </w:r>
    </w:p>
    <w:p>
      <w:pPr>
        <w:spacing w:line="312" w:lineRule="auto"/>
        <w:ind w:firstLine="482" w:firstLineChars="200"/>
        <w:rPr>
          <w:rFonts w:cs="黑体" w:asciiTheme="minorEastAsia" w:hAnsiTheme="minorEastAsia"/>
          <w:b/>
          <w:color w:val="auto"/>
          <w:sz w:val="24"/>
        </w:rPr>
      </w:pPr>
      <w:r>
        <w:rPr>
          <w:rFonts w:hint="eastAsia" w:cs="黑体" w:asciiTheme="minorEastAsia" w:hAnsiTheme="minorEastAsia"/>
          <w:b/>
          <w:color w:val="auto"/>
          <w:sz w:val="24"/>
        </w:rPr>
        <w:t>（一）春雨计划成机制，成为人培养模式建设和改革的铺路石</w:t>
      </w:r>
    </w:p>
    <w:p>
      <w:pPr>
        <w:spacing w:line="312" w:lineRule="auto"/>
        <w:ind w:firstLine="480" w:firstLineChars="200"/>
        <w:rPr>
          <w:rFonts w:ascii="宋体" w:hAnsi="宋体" w:cs="宋体"/>
          <w:color w:val="auto"/>
          <w:sz w:val="24"/>
        </w:rPr>
      </w:pPr>
      <w:r>
        <w:rPr>
          <w:rFonts w:hint="eastAsia" w:ascii="宋体" w:hAnsi="宋体" w:cs="宋体"/>
          <w:color w:val="auto"/>
          <w:sz w:val="24"/>
        </w:rPr>
        <w:t>在文物修复与保护专业新立项的校级课题《大师工作室产教融合型文物修复与保护现代学徒人才培养模式探索和实践》项目中，明确地将“春雨”计划作为校企双主体育人机制，并以此作为专业思政整体建设方案，凸显专业对职业素养和行业规范要求。</w:t>
      </w:r>
    </w:p>
    <w:p>
      <w:pPr>
        <w:spacing w:line="312" w:lineRule="auto"/>
        <w:ind w:firstLine="482" w:firstLineChars="200"/>
        <w:rPr>
          <w:rFonts w:cs="黑体" w:asciiTheme="minorEastAsia" w:hAnsiTheme="minorEastAsia"/>
          <w:b/>
          <w:color w:val="auto"/>
          <w:sz w:val="24"/>
        </w:rPr>
      </w:pPr>
      <w:r>
        <w:rPr>
          <w:rFonts w:hint="eastAsia" w:cs="黑体" w:asciiTheme="minorEastAsia" w:hAnsiTheme="minorEastAsia"/>
          <w:b/>
          <w:color w:val="auto"/>
          <w:sz w:val="24"/>
        </w:rPr>
        <w:t>（二）四大逐级递进式课程体系全覆盖</w:t>
      </w:r>
    </w:p>
    <w:p>
      <w:pPr>
        <w:spacing w:line="312" w:lineRule="auto"/>
        <w:ind w:firstLine="480" w:firstLineChars="200"/>
        <w:rPr>
          <w:rFonts w:ascii="宋体" w:hAnsi="宋体" w:cs="宋体"/>
          <w:color w:val="auto"/>
          <w:sz w:val="24"/>
        </w:rPr>
      </w:pPr>
      <w:r>
        <w:rPr>
          <w:rFonts w:hint="eastAsia" w:ascii="宋体" w:hAnsi="宋体" w:cs="宋体"/>
          <w:color w:val="auto"/>
          <w:sz w:val="24"/>
        </w:rPr>
        <w:t>文物修复与保护专业实施9门专业核心课程思政全覆盖的建设形式进行，配合专业人才培养方案多能一专型逐级递进式课程体系，形成四大专项能力课程思政建设主体。9门专业核心课程为书画装裱技术、书画修复技术、古籍装帧与修复技术、陶瓷器修复技术、青铜器修复技术、陶瓷器鉴赏基础、青铜器鉴赏基础、玉器鉴赏基础、文物绘图。</w:t>
      </w:r>
    </w:p>
    <w:p>
      <w:pPr>
        <w:spacing w:line="312" w:lineRule="auto"/>
        <w:ind w:firstLine="480" w:firstLineChars="200"/>
        <w:rPr>
          <w:rFonts w:ascii="宋体" w:hAnsi="宋体" w:cs="宋体"/>
          <w:color w:val="auto"/>
          <w:sz w:val="24"/>
        </w:rPr>
      </w:pPr>
      <w:r>
        <w:rPr>
          <w:rFonts w:hint="eastAsia" w:ascii="宋体" w:hAnsi="宋体" w:cs="宋体"/>
          <w:color w:val="auto"/>
          <w:sz w:val="24"/>
        </w:rPr>
        <w:t>通过建设，我们在课程上取得突出成果的是陶瓷技术有创新，青铜文化有传承。文物修复与保护专业《环氧树脂胶在瓷质文物修复工艺革新与技术流程工作中的优化应用》项目获得2018“挑战杯—彩虹人生”上海市级、全国职业学院创新创效创业大赛两个特等奖。这个奖项的获得并非是一蹴而就的，而是陶瓷工作室师生数届工匠精神铸就的陶瓷修复课程技术创新。同时，青铜器修复技术获得上海市非物质文化遗产40万项目经费，使得青铜器传统修复技术得到传承。</w:t>
      </w:r>
    </w:p>
    <w:p>
      <w:pPr>
        <w:spacing w:line="312" w:lineRule="auto"/>
        <w:jc w:val="center"/>
        <w:rPr>
          <w:rFonts w:asciiTheme="minorEastAsia" w:hAnsiTheme="minorEastAsia" w:cstheme="minorEastAsia"/>
          <w:color w:val="auto"/>
        </w:rPr>
      </w:pPr>
      <w:r>
        <w:rPr>
          <w:rFonts w:hint="eastAsia" w:asciiTheme="minorEastAsia" w:hAnsiTheme="minorEastAsia" w:cstheme="minorEastAsia"/>
          <w:color w:val="auto"/>
        </w:rPr>
        <w:drawing>
          <wp:anchor distT="0" distB="0" distL="114300" distR="114300" simplePos="0" relativeHeight="251715584" behindDoc="0" locked="0" layoutInCell="1" allowOverlap="1">
            <wp:simplePos x="0" y="0"/>
            <wp:positionH relativeFrom="column">
              <wp:posOffset>31750</wp:posOffset>
            </wp:positionH>
            <wp:positionV relativeFrom="paragraph">
              <wp:posOffset>52705</wp:posOffset>
            </wp:positionV>
            <wp:extent cx="2226945" cy="1713230"/>
            <wp:effectExtent l="0" t="0" r="1905" b="1270"/>
            <wp:wrapTopAndBottom/>
            <wp:docPr id="307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0" name="图片 4"/>
                    <pic:cNvPicPr>
                      <a:picLocks noChangeAspect="1"/>
                    </pic:cNvPicPr>
                  </pic:nvPicPr>
                  <pic:blipFill>
                    <a:blip r:embed="rId6"/>
                    <a:srcRect l="12324" t="12728" r="16049" b="4639"/>
                    <a:stretch>
                      <a:fillRect/>
                    </a:stretch>
                  </pic:blipFill>
                  <pic:spPr>
                    <a:xfrm>
                      <a:off x="0" y="0"/>
                      <a:ext cx="2226945" cy="1713230"/>
                    </a:xfrm>
                    <a:prstGeom prst="rect">
                      <a:avLst/>
                    </a:prstGeom>
                  </pic:spPr>
                </pic:pic>
              </a:graphicData>
            </a:graphic>
          </wp:anchor>
        </w:drawing>
      </w:r>
      <w:r>
        <w:rPr>
          <w:rFonts w:hint="eastAsia" w:asciiTheme="minorEastAsia" w:hAnsiTheme="minorEastAsia" w:cstheme="minorEastAsia"/>
          <w:color w:val="auto"/>
        </w:rPr>
        <w:drawing>
          <wp:anchor distT="0" distB="0" distL="114300" distR="114300" simplePos="0" relativeHeight="251716608" behindDoc="0" locked="0" layoutInCell="1" allowOverlap="1">
            <wp:simplePos x="0" y="0"/>
            <wp:positionH relativeFrom="column">
              <wp:posOffset>2599690</wp:posOffset>
            </wp:positionH>
            <wp:positionV relativeFrom="paragraph">
              <wp:posOffset>46990</wp:posOffset>
            </wp:positionV>
            <wp:extent cx="2258695" cy="1666240"/>
            <wp:effectExtent l="0" t="0" r="8255" b="10160"/>
            <wp:wrapTopAndBottom/>
            <wp:docPr id="30749"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 name="内容占位符 3"/>
                    <pic:cNvPicPr>
                      <a:picLocks noChangeAspect="1"/>
                    </pic:cNvPicPr>
                  </pic:nvPicPr>
                  <pic:blipFill>
                    <a:blip r:embed="rId7"/>
                    <a:srcRect l="3280" r="6262"/>
                    <a:stretch>
                      <a:fillRect/>
                    </a:stretch>
                  </pic:blipFill>
                  <pic:spPr>
                    <a:xfrm>
                      <a:off x="0" y="0"/>
                      <a:ext cx="2258695" cy="1666240"/>
                    </a:xfrm>
                    <a:prstGeom prst="rect">
                      <a:avLst/>
                    </a:prstGeom>
                  </pic:spPr>
                </pic:pic>
              </a:graphicData>
            </a:graphic>
          </wp:anchor>
        </w:drawing>
      </w:r>
      <w:r>
        <w:rPr>
          <w:rFonts w:hint="eastAsia" w:asciiTheme="minorEastAsia" w:hAnsiTheme="minorEastAsia" w:cstheme="minorEastAsia"/>
          <w:color w:val="auto"/>
        </w:rPr>
        <w:t>图</w:t>
      </w:r>
      <w:r>
        <w:rPr>
          <w:rFonts w:hint="eastAsia" w:asciiTheme="minorEastAsia" w:hAnsiTheme="minorEastAsia" w:cstheme="minorEastAsia"/>
          <w:color w:val="auto"/>
          <w:lang w:val="en-US" w:eastAsia="zh-CN"/>
        </w:rPr>
        <w:t>3</w:t>
      </w:r>
      <w:r>
        <w:rPr>
          <w:rFonts w:hint="eastAsia" w:asciiTheme="minorEastAsia" w:hAnsiTheme="minorEastAsia" w:cstheme="minorEastAsia"/>
          <w:color w:val="auto"/>
        </w:rPr>
        <w:t xml:space="preserve"> 课程思政阶段性成果——陶瓷修复技术有创新</w:t>
      </w:r>
    </w:p>
    <w:p>
      <w:pPr>
        <w:spacing w:line="312" w:lineRule="auto"/>
        <w:ind w:firstLine="482" w:firstLineChars="200"/>
        <w:rPr>
          <w:rFonts w:cs="黑体" w:asciiTheme="minorEastAsia" w:hAnsiTheme="minorEastAsia"/>
          <w:b/>
          <w:color w:val="auto"/>
          <w:sz w:val="24"/>
        </w:rPr>
      </w:pPr>
      <w:r>
        <w:rPr>
          <w:rFonts w:hint="eastAsia" w:cs="黑体" w:asciiTheme="minorEastAsia" w:hAnsiTheme="minorEastAsia"/>
          <w:b/>
          <w:color w:val="auto"/>
          <w:sz w:val="24"/>
        </w:rPr>
        <w:t>（三）聚焦一带一路重大社会项目，深度产教融合共同育人</w:t>
      </w:r>
    </w:p>
    <w:p>
      <w:pPr>
        <w:spacing w:line="312" w:lineRule="auto"/>
        <w:ind w:firstLine="480" w:firstLineChars="200"/>
        <w:rPr>
          <w:rFonts w:ascii="宋体" w:hAnsi="宋体" w:cs="宋体"/>
          <w:color w:val="auto"/>
          <w:sz w:val="24"/>
        </w:rPr>
      </w:pPr>
      <w:r>
        <w:rPr>
          <w:rFonts w:hint="eastAsia" w:ascii="宋体" w:hAnsi="宋体" w:cs="宋体"/>
          <w:color w:val="auto"/>
          <w:sz w:val="24"/>
        </w:rPr>
        <w:t>南海1号南宋沉船遗址是国家重大考古发现项目，太仓樊泾村元代遗址是2017年十大考古预选项目，两大发现记载着古代中国与周边国家友好往来的历史，反映了宋元时期中国的航海技术、国家综合实力，是国家一带一路核心历史地带。在这两个重大社会项目上，我们将国际文保理念介入现场修复与保护中，实施学术并重式技术标准，并以吃苦耐劳的职业素养获得合作单位好评，使得这两个点成为专业长期战略合作对象。南海1号项目组在中国文化遗产研究院官网上对我校文物修复与保护专业的工作事迹作了专项报道，以“取得了阶段性成果”作为总结，并对师生敬业和专业精神作了高度评价。</w:t>
      </w:r>
    </w:p>
    <w:p>
      <w:pPr>
        <w:spacing w:line="312" w:lineRule="auto"/>
        <w:ind w:firstLine="482" w:firstLineChars="200"/>
        <w:rPr>
          <w:rFonts w:cs="黑体" w:asciiTheme="minorEastAsia" w:hAnsiTheme="minorEastAsia"/>
          <w:b/>
          <w:color w:val="auto"/>
          <w:sz w:val="24"/>
        </w:rPr>
      </w:pPr>
      <w:r>
        <w:rPr>
          <w:rFonts w:hint="eastAsia" w:cs="黑体" w:asciiTheme="minorEastAsia" w:hAnsiTheme="minorEastAsia"/>
          <w:b/>
          <w:color w:val="auto"/>
          <w:sz w:val="24"/>
        </w:rPr>
        <w:t>（四）人才培养质量明显提升</w:t>
      </w:r>
    </w:p>
    <w:p>
      <w:pPr>
        <w:spacing w:line="312" w:lineRule="auto"/>
        <w:ind w:firstLine="480" w:firstLineChars="200"/>
        <w:rPr>
          <w:rFonts w:hint="eastAsia" w:ascii="宋体" w:hAnsi="宋体" w:cs="宋体"/>
          <w:color w:val="auto"/>
          <w:sz w:val="24"/>
        </w:rPr>
      </w:pPr>
      <w:r>
        <w:rPr>
          <w:rFonts w:hint="eastAsia" w:ascii="宋体" w:hAnsi="宋体" w:cs="宋体"/>
          <w:color w:val="auto"/>
          <w:sz w:val="24"/>
        </w:rPr>
        <w:t>文物修复与保护专业（2018届名称为文物鉴定与修复）往届毕业生就业单位外地生源多数集中于县市级文博单位和艺术品公司，上海生源多数为古玩城、拍卖行、艺术品公司，进入文博事业单位的毕业生数量较少，我们通过统计2018届陶瓷工作室学生实习与就业单位发现，文物修复与保护专业学生逐渐进入到国内一流文博机构或重大项目中实习或工作（见下表）。</w:t>
      </w:r>
    </w:p>
    <w:p>
      <w:pPr>
        <w:spacing w:line="312" w:lineRule="auto"/>
        <w:ind w:firstLine="480" w:firstLineChars="200"/>
        <w:rPr>
          <w:rFonts w:hint="eastAsia" w:asciiTheme="majorEastAsia" w:hAnsiTheme="majorEastAsia" w:eastAsiaTheme="majorEastAsia" w:cstheme="majorEastAsia"/>
          <w:color w:val="auto"/>
          <w:sz w:val="21"/>
          <w:szCs w:val="21"/>
          <w:lang w:val="en-US" w:eastAsia="zh-CN"/>
        </w:rPr>
      </w:pPr>
      <w:r>
        <w:rPr>
          <w:rFonts w:hint="eastAsia" w:ascii="宋体" w:hAnsi="宋体" w:cs="宋体"/>
          <w:color w:val="auto"/>
          <w:sz w:val="24"/>
          <w:lang w:val="en-US" w:eastAsia="zh-CN"/>
        </w:rPr>
        <w:t xml:space="preserve">       </w:t>
      </w:r>
      <w:r>
        <w:rPr>
          <w:rFonts w:hint="eastAsia" w:asciiTheme="majorEastAsia" w:hAnsiTheme="majorEastAsia" w:eastAsiaTheme="majorEastAsia" w:cstheme="majorEastAsia"/>
          <w:color w:val="auto"/>
          <w:sz w:val="21"/>
          <w:szCs w:val="21"/>
          <w:lang w:val="en-US" w:eastAsia="zh-CN"/>
        </w:rPr>
        <w:t>表1</w:t>
      </w:r>
      <w:r>
        <w:rPr>
          <w:rFonts w:hint="eastAsia" w:asciiTheme="majorEastAsia" w:hAnsiTheme="majorEastAsia" w:eastAsiaTheme="majorEastAsia" w:cstheme="majorEastAsia"/>
          <w:b/>
          <w:color w:val="auto"/>
          <w:kern w:val="0"/>
          <w:sz w:val="21"/>
          <w:szCs w:val="21"/>
        </w:rPr>
        <w:t>2018届陶瓷修复方向实习与就业统计（20人）</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ind w:firstLine="482"/>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b/>
                <w:color w:val="auto"/>
                <w:sz w:val="21"/>
                <w:szCs w:val="21"/>
              </w:rPr>
              <w:t>就业单位</w:t>
            </w:r>
          </w:p>
        </w:tc>
        <w:tc>
          <w:tcPr>
            <w:tcW w:w="2841" w:type="dxa"/>
          </w:tcPr>
          <w:p>
            <w:pPr>
              <w:pStyle w:val="2"/>
              <w:widowControl/>
              <w:spacing w:line="312" w:lineRule="auto"/>
              <w:ind w:firstLine="482"/>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b/>
                <w:color w:val="auto"/>
                <w:sz w:val="21"/>
                <w:szCs w:val="21"/>
              </w:rPr>
              <w:t>单位性质</w:t>
            </w:r>
          </w:p>
        </w:tc>
        <w:tc>
          <w:tcPr>
            <w:tcW w:w="2841" w:type="dxa"/>
          </w:tcPr>
          <w:p>
            <w:pPr>
              <w:pStyle w:val="2"/>
              <w:widowControl/>
              <w:spacing w:line="312" w:lineRule="auto"/>
              <w:ind w:firstLine="482"/>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b/>
                <w:color w:val="auto"/>
                <w:sz w:val="21"/>
                <w:szCs w:val="21"/>
              </w:rPr>
              <w:t>实习（就业）人数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国家文物局水下考古中心</w:t>
            </w:r>
          </w:p>
        </w:tc>
        <w:tc>
          <w:tcPr>
            <w:tcW w:w="2841" w:type="dxa"/>
          </w:tcPr>
          <w:p>
            <w:pPr>
              <w:pStyle w:val="2"/>
              <w:widowControl/>
              <w:spacing w:line="312" w:lineRule="auto"/>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著名事业单位</w:t>
            </w:r>
          </w:p>
        </w:tc>
        <w:tc>
          <w:tcPr>
            <w:tcW w:w="2841" w:type="dxa"/>
          </w:tcPr>
          <w:p>
            <w:pPr>
              <w:pStyle w:val="2"/>
              <w:widowControl/>
              <w:spacing w:line="312" w:lineRule="auto"/>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1人就业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河南省考古研究院</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著名事业单位</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1人就业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上海博物馆文保中心</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著名事业单位</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3人实习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西安考古研究院泾渭基地</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北京大学驻西安项目</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2人就业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中国乒乓球博物馆</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事业单位</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6人实习，4人就业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上海海派美术馆</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民间美术馆</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1人就业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西安望宸阁修复有限公司</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私营企业</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1人就业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上海雍墨艺术有限公司</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私营企业</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1人就业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上海中福拍卖有限公司</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私营企业</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1人就业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1" w:type="dxa"/>
            <w:gridSpan w:val="2"/>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合计</w:t>
            </w:r>
          </w:p>
        </w:tc>
        <w:tc>
          <w:tcPr>
            <w:tcW w:w="2841" w:type="dxa"/>
          </w:tcPr>
          <w:p>
            <w:pPr>
              <w:pStyle w:val="2"/>
              <w:widowControl/>
              <w:spacing w:line="312" w:lineRule="auto"/>
              <w:jc w:val="center"/>
              <w:rPr>
                <w:rFonts w:asciiTheme="minorEastAsia" w:hAnsiTheme="minorEastAsia" w:cstheme="minorEastAsia"/>
                <w:color w:val="auto"/>
                <w:sz w:val="21"/>
                <w:szCs w:val="21"/>
              </w:rPr>
            </w:pPr>
            <w:r>
              <w:rPr>
                <w:rFonts w:hint="eastAsia" w:asciiTheme="minorEastAsia" w:hAnsiTheme="minorEastAsia" w:eastAsiaTheme="minorEastAsia" w:cstheme="minorEastAsia"/>
                <w:color w:val="auto"/>
                <w:sz w:val="21"/>
                <w:szCs w:val="21"/>
              </w:rPr>
              <w:t>17人</w:t>
            </w:r>
          </w:p>
        </w:tc>
      </w:tr>
    </w:tbl>
    <w:p>
      <w:pPr>
        <w:spacing w:line="312" w:lineRule="auto"/>
        <w:ind w:firstLine="480" w:firstLineChars="200"/>
        <w:rPr>
          <w:rFonts w:ascii="宋体" w:hAnsi="宋体" w:cs="宋体"/>
          <w:color w:val="auto"/>
          <w:sz w:val="24"/>
        </w:rPr>
      </w:pPr>
      <w:r>
        <w:rPr>
          <w:rFonts w:hint="eastAsia" w:ascii="宋体" w:hAnsi="宋体" w:cs="宋体"/>
          <w:color w:val="auto"/>
          <w:sz w:val="24"/>
        </w:rPr>
        <w:t>文物专业学生正是通过参与“南海1号”、太仓樊村泾元代遗址等重大国家项目，展示了高度的职业精神和专业技术特长，积累了岗位经验，才使得以硕士研究生等高学历人才引进的知名单位突破用人瓶颈，以灵活形式引进我院学生，也展示了专业人才培养质量。</w:t>
      </w:r>
    </w:p>
    <w:p>
      <w:pPr>
        <w:widowControl/>
        <w:spacing w:line="312" w:lineRule="auto"/>
        <w:jc w:val="left"/>
        <w:rPr>
          <w:color w:val="auto"/>
        </w:rPr>
      </w:pPr>
      <w:r>
        <w:rPr>
          <w:color w:val="auto"/>
        </w:rPr>
        <w:br w:type="page"/>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ED5A04"/>
    <w:rsid w:val="6E532FF8"/>
    <w:rsid w:val="72ED5A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jc w:val="left"/>
    </w:pPr>
    <w:rPr>
      <w:rFonts w:ascii="Times New Roman" w:hAnsi="Times New Roman" w:eastAsia="宋体" w:cs="Times New Roman"/>
      <w:kern w:val="0"/>
      <w:sz w:val="24"/>
    </w:rPr>
  </w:style>
  <w:style w:type="table" w:styleId="5">
    <w:name w:val="Table Grid"/>
    <w:basedOn w:val="4"/>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2018-12-08T12:23:00Z</dcterms:created>
  <dc:creator>诗露花雨</dc:creator>
  <cp:lastModifiedBy>诗露花雨</cp:lastModifiedBy>
  <dcterms:modified xsi:type="dcterms:W3CDTF">2018-12-08T12:23:40Z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