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562" w:firstLineChars="200"/>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自助AI四诊系统</w:t>
      </w:r>
      <w:r>
        <w:rPr>
          <w:b/>
          <w:bCs/>
          <w:sz w:val="28"/>
          <w:szCs w:val="28"/>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lang w:val="en-US" w:eastAsia="zh-CN"/>
              </w:rPr>
            </w:pPr>
            <w:r>
              <w:rPr>
                <w:rFonts w:hint="eastAsia"/>
                <w:lang w:val="en-US" w:eastAsia="zh-CN"/>
              </w:rPr>
              <w:t>预算金额</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t>82000</w:t>
            </w:r>
            <w:r>
              <w:rPr>
                <w:rFonts w:hint="eastAsia" w:asciiTheme="minorEastAsia" w:hAnsiTheme="minorEastAsia" w:cstheme="minorEastAsia"/>
                <w:i w:val="0"/>
                <w:caps w:val="0"/>
                <w:color w:val="000000"/>
                <w:spacing w:val="0"/>
                <w:sz w:val="21"/>
                <w:szCs w:val="21"/>
                <w:shd w:val="clear" w:fill="FFFFFF"/>
                <w:vertAlign w:val="baseline"/>
                <w:lang w:val="en-US" w:eastAsia="zh-CN"/>
              </w:rPr>
              <w:t>元</w:t>
            </w:r>
          </w:p>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eastAsia="宋体" w:asciiTheme="minorEastAsia" w:hAnsi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cstheme="minorEastAsia"/>
                <w:i w:val="0"/>
                <w:caps w:val="0"/>
                <w:color w:val="000000"/>
                <w:spacing w:val="0"/>
                <w:sz w:val="21"/>
                <w:szCs w:val="21"/>
                <w:shd w:val="clear" w:fill="FFFFFF"/>
                <w:vertAlign w:val="baseline"/>
                <w:lang w:val="en-US" w:eastAsia="zh-CN"/>
              </w:rPr>
              <w:t>（</w:t>
            </w:r>
            <w:r>
              <w:rPr>
                <w:rStyle w:val="10"/>
                <w:rFonts w:hint="eastAsia" w:ascii="宋体" w:hAnsi="宋体" w:eastAsia="宋体" w:cs="宋体"/>
                <w:b w:val="0"/>
                <w:bCs w:val="0"/>
                <w:i w:val="0"/>
                <w:caps w:val="0"/>
                <w:color w:val="000000"/>
                <w:spacing w:val="0"/>
                <w:sz w:val="21"/>
                <w:szCs w:val="21"/>
                <w:shd w:val="clear" w:fill="FFFFFF"/>
              </w:rPr>
              <w:t>超过采购预算报价不予接受</w:t>
            </w:r>
            <w:r>
              <w:rPr>
                <w:rStyle w:val="10"/>
                <w:rFonts w:hint="eastAsia" w:ascii="宋体" w:hAnsi="宋体" w:eastAsia="宋体" w:cs="宋体"/>
                <w:b w:val="0"/>
                <w:bCs w:val="0"/>
                <w:i w:val="0"/>
                <w:caps w:val="0"/>
                <w:color w:val="000000"/>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default"/>
                <w:lang w:val="en-US" w:eastAsia="zh-CN"/>
              </w:rPr>
            </w:pPr>
            <w:r>
              <w:rPr>
                <w:rFonts w:hint="eastAsia"/>
                <w:lang w:val="en-US" w:eastAsia="zh-CN"/>
              </w:rPr>
              <w:t>项目编号</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default" w:asciiTheme="minorEastAsia" w:hAnsiTheme="minorEastAsia" w:cstheme="minorEastAsia"/>
                <w:i w:val="0"/>
                <w:caps w:val="0"/>
                <w:color w:val="000000"/>
                <w:spacing w:val="0"/>
                <w:sz w:val="21"/>
                <w:szCs w:val="21"/>
                <w:shd w:val="clear" w:fill="FFFFFF"/>
                <w:vertAlign w:val="baseline"/>
                <w:lang w:val="en-US" w:eastAsia="zh-CN"/>
              </w:rPr>
            </w:pPr>
            <w:r>
              <w:rPr>
                <w:rFonts w:hint="eastAsia" w:ascii="宋体" w:hAnsi="宋体" w:eastAsia="宋体" w:cs="宋体"/>
                <w:i w:val="0"/>
                <w:caps w:val="0"/>
                <w:color w:val="000000"/>
                <w:spacing w:val="0"/>
                <w:sz w:val="21"/>
                <w:szCs w:val="21"/>
                <w:u w:val="none"/>
                <w:shd w:val="clear" w:fill="FFFFFF"/>
                <w:lang w:val="en-US" w:eastAsia="zh-CN"/>
              </w:rPr>
              <w:t>ZCJJ-2026-012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项目时限</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kern w:val="0"/>
                <w:sz w:val="21"/>
                <w:szCs w:val="21"/>
              </w:rPr>
              <w:t>签订合同</w:t>
            </w:r>
            <w:r>
              <w:rPr>
                <w:rFonts w:hint="eastAsia" w:asciiTheme="minorEastAsia" w:hAnsiTheme="minorEastAsia" w:cstheme="minorEastAsia"/>
                <w:kern w:val="0"/>
                <w:sz w:val="21"/>
                <w:szCs w:val="21"/>
                <w:lang w:val="en-US" w:eastAsia="zh-CN"/>
              </w:rPr>
              <w:t>后</w:t>
            </w:r>
            <w:r>
              <w:rPr>
                <w:rFonts w:hint="eastAsia" w:asciiTheme="minorEastAsia" w:hAnsiTheme="minorEastAsia" w:eastAsiaTheme="minorEastAsia" w:cstheme="minorEastAsia"/>
                <w:kern w:val="0"/>
                <w:sz w:val="21"/>
                <w:szCs w:val="21"/>
              </w:rPr>
              <w:t>15日内</w:t>
            </w:r>
            <w:r>
              <w:rPr>
                <w:rFonts w:hint="eastAsia" w:asciiTheme="minorEastAsia" w:hAnsiTheme="minorEastAsia" w:eastAsiaTheme="minorEastAsia" w:cstheme="minorEastAsia"/>
                <w:kern w:val="0"/>
                <w:sz w:val="21"/>
                <w:szCs w:val="21"/>
                <w:lang w:val="en-US" w:eastAsia="zh-CN"/>
              </w:rPr>
              <w:t>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付款方式</w:t>
            </w:r>
          </w:p>
        </w:tc>
        <w:tc>
          <w:tcPr>
            <w:tcW w:w="4017" w:type="dxa"/>
            <w:vAlign w:val="center"/>
          </w:tcPr>
          <w:p>
            <w:pPr>
              <w:ind w:left="674" w:leftChars="171" w:hanging="315" w:hangingChars="150"/>
              <w:jc w:val="center"/>
              <w:rPr>
                <w:snapToGrid w:val="0"/>
                <w:kern w:val="0"/>
                <w:sz w:val="21"/>
                <w:szCs w:val="21"/>
              </w:rPr>
            </w:pPr>
            <w:r>
              <w:rPr>
                <w:rFonts w:hint="eastAsia"/>
                <w:snapToGrid w:val="0"/>
                <w:kern w:val="0"/>
                <w:sz w:val="21"/>
                <w:szCs w:val="21"/>
              </w:rPr>
              <w:t>安装调试、应用培训正常工作，经双方验收签字确认，临床教学</w:t>
            </w:r>
          </w:p>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snapToGrid w:val="0"/>
                <w:kern w:val="0"/>
                <w:sz w:val="21"/>
                <w:szCs w:val="21"/>
              </w:rPr>
              <w:t>正常使用后一次付全款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default"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cstheme="minorEastAsia"/>
                <w:i w:val="0"/>
                <w:caps w:val="0"/>
                <w:color w:val="000000"/>
                <w:spacing w:val="0"/>
                <w:sz w:val="21"/>
                <w:szCs w:val="21"/>
                <w:shd w:val="clear" w:fill="FFFFFF"/>
                <w:lang w:val="en-US" w:eastAsia="zh-CN"/>
              </w:rPr>
              <w:t>验收方式/标准</w:t>
            </w:r>
          </w:p>
        </w:tc>
        <w:tc>
          <w:tcPr>
            <w:tcW w:w="4017"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kern w:val="0"/>
                <w:sz w:val="21"/>
                <w:szCs w:val="21"/>
              </w:rPr>
              <w:t>按照采购需求验收功能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0" w:type="dxa"/>
            <w:vAlign w:val="center"/>
          </w:tcPr>
          <w:p>
            <w:pPr>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1"/>
                <w:szCs w:val="21"/>
                <w:shd w:val="clear" w:fill="FFFFFF"/>
                <w:vertAlign w:val="baseline"/>
                <w:lang w:val="en-US" w:eastAsia="zh-CN"/>
              </w:rPr>
              <w:t>报价截止日期</w:t>
            </w:r>
          </w:p>
        </w:tc>
        <w:tc>
          <w:tcPr>
            <w:tcW w:w="4017" w:type="dxa"/>
            <w:vAlign w:val="center"/>
          </w:tcPr>
          <w:p>
            <w:pPr>
              <w:keepNext w:val="0"/>
              <w:keepLines w:val="0"/>
              <w:pageBreakBefore w:val="0"/>
              <w:tabs>
                <w:tab w:val="left" w:pos="859"/>
              </w:tabs>
              <w:kinsoku/>
              <w:wordWrap/>
              <w:overflowPunct/>
              <w:topLinePunct w:val="0"/>
              <w:autoSpaceDE/>
              <w:autoSpaceDN/>
              <w:bidi w:val="0"/>
              <w:adjustRightInd/>
              <w:snapToGrid/>
              <w:spacing w:line="240" w:lineRule="auto"/>
              <w:ind w:firstLine="420" w:firstLineChars="200"/>
              <w:jc w:val="center"/>
              <w:textAlignment w:val="auto"/>
              <w:rPr>
                <w:rFonts w:hint="default" w:asciiTheme="minorEastAsia" w:hAnsiTheme="minorEastAsia" w:eastAsiaTheme="minorEastAsia" w:cstheme="minorEastAsia"/>
                <w:i w:val="0"/>
                <w:caps w:val="0"/>
                <w:color w:val="000000"/>
                <w:spacing w:val="0"/>
                <w:sz w:val="21"/>
                <w:szCs w:val="21"/>
                <w:shd w:val="clear" w:fill="FFFFFF"/>
                <w:vertAlign w:val="baseline"/>
                <w:lang w:val="en-US" w:eastAsia="zh-CN"/>
              </w:rPr>
            </w:pPr>
            <w:r>
              <w:rPr>
                <w:rFonts w:hint="eastAsia" w:asciiTheme="minorEastAsia" w:hAnsiTheme="minorEastAsia" w:cstheme="minorEastAsia"/>
                <w:i w:val="0"/>
                <w:caps w:val="0"/>
                <w:color w:val="000000"/>
                <w:spacing w:val="0"/>
                <w:sz w:val="21"/>
                <w:szCs w:val="21"/>
                <w:shd w:val="clear" w:fill="FFFFFF"/>
                <w:vertAlign w:val="baseline"/>
                <w:lang w:val="en-US" w:eastAsia="zh-CN"/>
              </w:rPr>
              <w:t>2026年5月27日</w:t>
            </w:r>
          </w:p>
        </w:tc>
      </w:tr>
    </w:tbl>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eastAsia" w:asciiTheme="minorEastAsia" w:hAnsiTheme="minorEastAsia" w:eastAsiaTheme="minorEastAsia" w:cstheme="minorEastAsia"/>
          <w:i w:val="0"/>
          <w:caps w:val="0"/>
          <w:color w:val="000000"/>
          <w:spacing w:val="0"/>
          <w:sz w:val="21"/>
          <w:szCs w:val="21"/>
        </w:rPr>
      </w:pPr>
      <w:r>
        <w:rPr>
          <w:rStyle w:val="10"/>
          <w:rFonts w:hint="eastAsia" w:asciiTheme="minorEastAsia" w:hAnsiTheme="minorEastAsia" w:eastAsiaTheme="minorEastAsia" w:cstheme="minorEastAsia"/>
          <w:b/>
          <w:i w:val="0"/>
          <w:caps w:val="0"/>
          <w:color w:val="000000"/>
          <w:spacing w:val="0"/>
          <w:sz w:val="21"/>
          <w:szCs w:val="21"/>
          <w:shd w:val="clear" w:fill="FFFFFF"/>
        </w:rPr>
        <w:t>竞价公告</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根据《中华人民共和国政府采购法》及相关法律、法规之规定，对</w:t>
      </w:r>
      <w:r>
        <w:rPr>
          <w:rFonts w:hint="eastAsia" w:asciiTheme="minorEastAsia" w:hAnsiTheme="minorEastAsia" w:eastAsiaTheme="minorEastAsia" w:cstheme="minorEastAsia"/>
          <w:i w:val="0"/>
          <w:caps w:val="0"/>
          <w:color w:val="000000"/>
          <w:spacing w:val="0"/>
          <w:sz w:val="21"/>
          <w:szCs w:val="21"/>
          <w:shd w:val="clear" w:fill="FFFFFF"/>
          <w:lang w:val="en-US" w:eastAsia="zh-CN"/>
        </w:rPr>
        <w:t>本</w:t>
      </w:r>
      <w:r>
        <w:rPr>
          <w:rFonts w:hint="eastAsia" w:asciiTheme="minorEastAsia" w:hAnsiTheme="minorEastAsia" w:eastAsiaTheme="minorEastAsia" w:cstheme="minorEastAsia"/>
          <w:b w:val="0"/>
          <w:bCs w:val="0"/>
          <w:color w:val="auto"/>
          <w:kern w:val="0"/>
          <w:sz w:val="21"/>
          <w:szCs w:val="21"/>
          <w:lang w:val="en-US" w:eastAsia="zh-CN" w:bidi="ar-SA"/>
        </w:rPr>
        <w:t>项目</w:t>
      </w:r>
      <w:r>
        <w:rPr>
          <w:rFonts w:hint="eastAsia" w:asciiTheme="minorEastAsia" w:hAnsiTheme="minorEastAsia" w:eastAsiaTheme="minorEastAsia" w:cstheme="minorEastAsia"/>
          <w:i w:val="0"/>
          <w:caps w:val="0"/>
          <w:color w:val="000000"/>
          <w:spacing w:val="0"/>
          <w:sz w:val="21"/>
          <w:szCs w:val="21"/>
          <w:shd w:val="clear" w:fill="FFFFFF"/>
        </w:rPr>
        <w:t>进行公开竞价，特邀请合格的供应商前来参加竞价。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textAlignment w:val="auto"/>
        <w:rPr>
          <w:rFonts w:hint="eastAsia" w:asciiTheme="minorEastAsia" w:hAnsiTheme="minorEastAsia" w:eastAsiaTheme="minorEastAsia" w:cstheme="minorEastAsia"/>
          <w:i w:val="0"/>
          <w:caps w:val="0"/>
          <w:color w:val="000000"/>
          <w:spacing w:val="0"/>
          <w:sz w:val="21"/>
          <w:szCs w:val="21"/>
        </w:rPr>
      </w:pPr>
      <w:r>
        <w:rPr>
          <w:rStyle w:val="10"/>
          <w:rFonts w:hint="eastAsia" w:asciiTheme="minorEastAsia" w:hAnsiTheme="minorEastAsia" w:eastAsiaTheme="minorEastAsia" w:cstheme="minorEastAsia"/>
          <w:i w:val="0"/>
          <w:caps w:val="0"/>
          <w:color w:val="000000"/>
          <w:spacing w:val="0"/>
          <w:sz w:val="21"/>
          <w:szCs w:val="21"/>
          <w:shd w:val="clear" w:fill="FFFFFF"/>
        </w:rPr>
        <w:t>一、合格的供应商必须具备以下条件：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firstLineChars="200"/>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1.符合《中华人民共和国政府采购法》第二十二条规定的供应商。</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2" w:firstLineChars="200"/>
        <w:textAlignment w:val="auto"/>
        <w:rPr>
          <w:rStyle w:val="10"/>
          <w:rFonts w:hint="eastAsia" w:asciiTheme="minorEastAsia" w:hAnsiTheme="minorEastAsia" w:eastAsiaTheme="minorEastAsia" w:cstheme="minorEastAsia"/>
          <w:i w:val="0"/>
          <w:caps w:val="0"/>
          <w:color w:val="000000"/>
          <w:spacing w:val="0"/>
          <w:sz w:val="21"/>
          <w:szCs w:val="21"/>
          <w:shd w:val="clear" w:fill="FFFFFF"/>
          <w:lang w:val="en-US" w:eastAsia="zh-CN"/>
        </w:rPr>
      </w:pPr>
      <w:r>
        <w:rPr>
          <w:rStyle w:val="10"/>
          <w:rFonts w:hint="eastAsia" w:asciiTheme="minorEastAsia" w:hAnsiTheme="minorEastAsia" w:eastAsiaTheme="minorEastAsia" w:cstheme="minorEastAsia"/>
          <w:i w:val="0"/>
          <w:caps w:val="0"/>
          <w:color w:val="000000"/>
          <w:spacing w:val="0"/>
          <w:sz w:val="21"/>
          <w:szCs w:val="21"/>
          <w:shd w:val="clear" w:fill="FFFFFF"/>
        </w:rPr>
        <w:t>二、项目</w:t>
      </w:r>
      <w:r>
        <w:rPr>
          <w:rStyle w:val="10"/>
          <w:rFonts w:hint="eastAsia" w:asciiTheme="minorEastAsia" w:hAnsiTheme="minorEastAsia" w:eastAsiaTheme="minorEastAsia" w:cstheme="minorEastAsia"/>
          <w:i w:val="0"/>
          <w:caps w:val="0"/>
          <w:color w:val="000000"/>
          <w:spacing w:val="0"/>
          <w:sz w:val="21"/>
          <w:szCs w:val="21"/>
          <w:shd w:val="clear" w:fill="FFFFFF"/>
          <w:lang w:val="en-US" w:eastAsia="zh-CN"/>
        </w:rPr>
        <w:t>需求</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cstheme="minorEastAsia"/>
          <w:b w:val="0"/>
          <w:bCs w:val="0"/>
          <w:sz w:val="21"/>
          <w:szCs w:val="21"/>
          <w:lang w:val="en-US" w:eastAsia="zh-CN"/>
        </w:rPr>
        <w:t>设备名称：</w:t>
      </w:r>
      <w:r>
        <w:rPr>
          <w:rFonts w:hint="eastAsia" w:asciiTheme="minorEastAsia" w:hAnsiTheme="minorEastAsia" w:eastAsiaTheme="minorEastAsia" w:cstheme="minorEastAsia"/>
          <w:b w:val="0"/>
          <w:bCs w:val="0"/>
          <w:sz w:val="21"/>
          <w:szCs w:val="21"/>
        </w:rPr>
        <w:t>自助AI四诊系统</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r>
        <w:rPr>
          <w:rFonts w:hint="eastAsia" w:asciiTheme="minorEastAsia" w:hAnsiTheme="minorEastAsia" w:cstheme="minorEastAsia"/>
          <w:b w:val="0"/>
          <w:bCs w:val="0"/>
          <w:sz w:val="21"/>
          <w:szCs w:val="21"/>
          <w:lang w:val="en-US" w:eastAsia="zh-CN"/>
        </w:rPr>
        <w:t>型号：</w:t>
      </w:r>
      <w:r>
        <w:rPr>
          <w:rFonts w:hint="eastAsia" w:ascii="宋体" w:hAnsi="宋体" w:cs="宋体"/>
          <w:b w:val="0"/>
          <w:bCs w:val="0"/>
          <w:kern w:val="0"/>
        </w:rPr>
        <w:t>医智汇</w:t>
      </w:r>
      <w:r>
        <w:rPr>
          <w:rFonts w:hint="eastAsia" w:ascii="宋体" w:hAnsi="宋体" w:cs="宋体"/>
          <w:b w:val="0"/>
          <w:bCs w:val="0"/>
        </w:rPr>
        <w:t>YZH-SZ-V1（立式）（字母系统）</w:t>
      </w:r>
    </w:p>
    <w:p>
      <w:pPr>
        <w:pStyle w:val="12"/>
        <w:keepNext w:val="0"/>
        <w:keepLines w:val="0"/>
        <w:pageBreakBefore w:val="0"/>
        <w:kinsoku/>
        <w:wordWrap/>
        <w:overflowPunct/>
        <w:topLinePunct w:val="0"/>
        <w:autoSpaceDE/>
        <w:autoSpaceDN/>
        <w:bidi w:val="0"/>
        <w:adjustRightInd/>
        <w:snapToGrid w:val="0"/>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kern w:val="0"/>
          <w:sz w:val="21"/>
          <w:szCs w:val="21"/>
          <w:highlight w:val="none"/>
        </w:rPr>
        <w:t>产品概述：</w:t>
      </w:r>
      <w:r>
        <w:rPr>
          <w:rFonts w:hint="eastAsia" w:asciiTheme="minorEastAsia" w:hAnsiTheme="minorEastAsia" w:eastAsiaTheme="minorEastAsia" w:cstheme="minorEastAsia"/>
          <w:sz w:val="21"/>
          <w:szCs w:val="21"/>
        </w:rPr>
        <w:t xml:space="preserve">该系统基于传统中医理论之上结合现代人工智能算法分析，研发出一款触屏自助式中医四诊设备。该设备包含多个系统组成，中医指脉象诊断系统、舌面象诊断系统、体质辨识系统、养生调理系统等，通过扫描二维码，5分钟内即可快速完成诊断并得出诊断健康管理报告。 </w:t>
      </w:r>
    </w:p>
    <w:p>
      <w:pPr>
        <w:pStyle w:val="13"/>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eastAsia" w:asciiTheme="minorEastAsia" w:hAnsiTheme="minorEastAsia" w:eastAsiaTheme="minorEastAsia" w:cstheme="minorEastAsia"/>
          <w:sz w:val="21"/>
          <w:szCs w:val="21"/>
          <w:shd w:val="clear" w:color="auto" w:fill="FCFCFC"/>
        </w:rPr>
      </w:pPr>
      <w:r>
        <w:rPr>
          <w:rFonts w:hint="eastAsia" w:asciiTheme="minorEastAsia" w:hAnsiTheme="minorEastAsia" w:eastAsiaTheme="minorEastAsia" w:cstheme="minorEastAsia"/>
          <w:sz w:val="21"/>
          <w:szCs w:val="21"/>
        </w:rPr>
        <w:t>系统</w:t>
      </w:r>
      <w:r>
        <w:rPr>
          <w:rFonts w:hint="eastAsia" w:asciiTheme="minorEastAsia" w:hAnsiTheme="minorEastAsia" w:eastAsiaTheme="minorEastAsia" w:cstheme="minorEastAsia"/>
          <w:sz w:val="21"/>
          <w:szCs w:val="21"/>
          <w:shd w:val="clear" w:color="auto" w:fill="FCFCFC"/>
        </w:rPr>
        <w:t>可以整合患者的多维度信息，涵盖既往病史、家族病史、生活习惯等，进行全面综合分析，从而提供更精准的诊断和个性化治疗建议。并且依据中医理论和大数据构建标准化诊断模型，保证了诊断的一致性和客观性，避免了不同医生因个体差异导致的诊断结果不一致问题。为中医学习者搭建了模拟真实诊疗场景的平台，让他们在实践中熟悉四诊流程和方法，提升实操技能，深入理解中医辨证论治的思路和方法，是中医教育的有力辅助工具。</w:t>
      </w:r>
    </w:p>
    <w:p>
      <w:pPr>
        <w:keepNext w:val="0"/>
        <w:keepLines w:val="0"/>
        <w:pageBreakBefore w:val="0"/>
        <w:numPr>
          <w:ilvl w:val="0"/>
          <w:numId w:val="0"/>
        </w:numPr>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
          <w:bCs/>
          <w:sz w:val="21"/>
          <w:szCs w:val="21"/>
          <w:highlight w:val="yellow"/>
        </w:rPr>
        <w:t>软件参数：</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（一）舌象诊断</w:t>
      </w:r>
      <w:r>
        <w:rPr>
          <w:rFonts w:hint="eastAsia" w:asciiTheme="minorEastAsia" w:hAnsiTheme="minorEastAsia" w:eastAsiaTheme="minorEastAsia" w:cstheme="minorEastAsia"/>
          <w:sz w:val="21"/>
          <w:szCs w:val="21"/>
        </w:rPr>
        <w:t>：运用先进的高精度摄影技术，精细捕获个人舌部细节，进而通过精确的舌象矩阵模型，深入剖析舌部各项参数。</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1.采集包括舌体的大小、舌色的深浅、舌形的特征、苔质的厚薄、舌态的活动以及苔色的变化，从而精确地判别并输出相应的中医证型；</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2.图像裁剪：将舌体自动从背景中分割出来进行自动检测，避免误切舌边；</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3.通过阈值分割、边缘检测、区域生长、深度学习等技术，保证舌体的分割精度；</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4.图像色彩校正以及图像增强功能，提高图像对比度与清晰度；</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5.支持图像预览、重新拍摄功能。</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6★子系统功能一致</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（二）面象诊断：</w:t>
      </w:r>
      <w:r>
        <w:rPr>
          <w:rFonts w:hint="eastAsia" w:asciiTheme="minorEastAsia" w:hAnsiTheme="minorEastAsia" w:eastAsiaTheme="minorEastAsia" w:cstheme="minorEastAsia"/>
          <w:sz w:val="21"/>
          <w:szCs w:val="21"/>
        </w:rPr>
        <w:t>利用先进的拍摄系统精准捕获人脸信息，进而借助面象矩阵模型对脸部诸多参数进行深入分析，旨在准确判读肤色、唇色、光泽度以及面部独特特征等细节。达到对面象客观化、数字化、可视化的诊断效果。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1.采用高精度分辨率，保证面部细节清晰，肤色、纹理分布均匀；</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2.通过深度学习等技术保证人脸图像的对比度、清晰度以及精准检测；</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3.调整以平衡检测速度与精度，保证五官定位和轮廓分析；</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4.通过面象分析“三庭五眼”结合气色、光泽、润燥等输出综合健康分析等级。</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5★子系统功能一致</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★（三）脉象诊断：</w:t>
      </w:r>
      <w:r>
        <w:rPr>
          <w:rFonts w:hint="eastAsia" w:asciiTheme="minorEastAsia" w:hAnsiTheme="minorEastAsia" w:eastAsiaTheme="minorEastAsia" w:cstheme="minorEastAsia"/>
          <w:sz w:val="21"/>
          <w:szCs w:val="21"/>
        </w:rPr>
        <w:t>指夹式指脉传感器，利用高精度传感器采集指脉波形，通过分析脉象的位、数、形、势和脉图的各项参数精准分析，自动判别出测试者脉类，实现客观化的脉象诊断效果。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1.通过指夹式采集脉象，准确率高，无创、佩戴舒适、操作简便，保证了脉搏波形细节的完整捕捉；</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2.指夹式传感器灵敏度极高，能够捕捉脉搏波的基本形态，适合脉象特征的提取；</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3.采样率适中，信号稳定；</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4.采用光电容积图技术，通过红外光监测血液容积变化，信号相对稳定；</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5.抗干扰能力强，消除个体差异，使信号幅度在同一尺度，适合在非严格静止状态下采集；</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6.指夹式传感器可同时采集脉率，血氧饱和度、灌注指数等，一次采集获得多维生理指标，便于综合评估循环系统状态；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7.理论适配，更适合现代生理参数监测，通过AI算法与中医理论相结合。</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8★子系统功能一致</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★（四）系统报告：</w:t>
      </w:r>
      <w:r>
        <w:rPr>
          <w:rFonts w:hint="eastAsia" w:asciiTheme="minorEastAsia" w:hAnsiTheme="minorEastAsia" w:eastAsiaTheme="minorEastAsia" w:cstheme="minorEastAsia"/>
          <w:sz w:val="21"/>
          <w:szCs w:val="21"/>
        </w:rPr>
        <w:t>涵盖了经络指标分析、理疗参数设定、体质类型识别、脏腑功能辨证、潜在疾患风险评估、健康调理建议等五大核心部分。</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1.经络指标</w:t>
      </w:r>
      <w:r>
        <w:rPr>
          <w:rFonts w:hint="eastAsia" w:asciiTheme="minorEastAsia" w:hAnsiTheme="minorEastAsia" w:eastAsiaTheme="minorEastAsia" w:cstheme="minorEastAsia"/>
          <w:sz w:val="21"/>
          <w:szCs w:val="21"/>
          <w:lang w:eastAsia="zh"/>
        </w:rPr>
        <w:t>。</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
        </w:rPr>
        <w:t>.1构建可视化经络图</w:t>
      </w:r>
      <w:r>
        <w:rPr>
          <w:rFonts w:hint="eastAsia" w:asciiTheme="minorEastAsia" w:hAnsiTheme="minorEastAsia" w:eastAsiaTheme="minorEastAsia" w:cstheme="minorEastAsia"/>
          <w:sz w:val="21"/>
          <w:szCs w:val="21"/>
        </w:rPr>
        <w:t>，以显示各经络指标的高低指数，还可提供具体临床表现以及正常情况下经络的介绍，以此来评判自身身体体质，具有动画可视化效果；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
        </w:rPr>
        <w:t>通过点击人体经络图，用户能够直观地观察到特定经络的当前状态。此外，该系统集成了经络阐释、经络循行路径图解、经络病理特征、经络失衡成因分析，以及相关原发疾病与症状的深入解析。</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lang w:eastAsia="zh"/>
        </w:rPr>
        <w:t>针对现阶段经络状况，提出相应的</w:t>
      </w:r>
      <w:r>
        <w:rPr>
          <w:rFonts w:hint="eastAsia" w:asciiTheme="minorEastAsia" w:hAnsiTheme="minorEastAsia" w:eastAsiaTheme="minorEastAsia" w:cstheme="minorEastAsia"/>
          <w:sz w:val="21"/>
          <w:szCs w:val="21"/>
        </w:rPr>
        <w:t>食疗方案、</w:t>
      </w:r>
      <w:r>
        <w:rPr>
          <w:rFonts w:hint="eastAsia" w:asciiTheme="minorEastAsia" w:hAnsiTheme="minorEastAsia" w:eastAsiaTheme="minorEastAsia" w:cstheme="minorEastAsia"/>
          <w:sz w:val="21"/>
          <w:szCs w:val="21"/>
          <w:lang w:eastAsia="zh"/>
        </w:rPr>
        <w:t>运动</w:t>
      </w:r>
      <w:r>
        <w:rPr>
          <w:rFonts w:hint="eastAsia" w:asciiTheme="minorEastAsia" w:hAnsiTheme="minorEastAsia" w:eastAsiaTheme="minorEastAsia" w:cstheme="minorEastAsia"/>
          <w:sz w:val="21"/>
          <w:szCs w:val="21"/>
        </w:rPr>
        <w:t>保养方案以及</w:t>
      </w:r>
      <w:r>
        <w:rPr>
          <w:rFonts w:hint="eastAsia" w:asciiTheme="minorEastAsia" w:hAnsiTheme="minorEastAsia" w:eastAsiaTheme="minorEastAsia" w:cstheme="minorEastAsia"/>
          <w:sz w:val="21"/>
          <w:szCs w:val="21"/>
          <w:lang w:eastAsia="zh"/>
        </w:rPr>
        <w:t>穴位调理策略。</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2.气血状态。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2.1监测人体状况，</w:t>
      </w:r>
      <w:r>
        <w:rPr>
          <w:rFonts w:hint="eastAsia" w:asciiTheme="minorEastAsia" w:hAnsiTheme="minorEastAsia" w:eastAsiaTheme="minorEastAsia" w:cstheme="minorEastAsia"/>
          <w:sz w:val="21"/>
          <w:szCs w:val="21"/>
          <w:lang w:eastAsia="zh"/>
        </w:rPr>
        <w:t>提供阴阳指数的具体数值</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
        </w:rPr>
        <w:t>并附以相应的阐释及临床表现分析。</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
        </w:rPr>
        <w:t>.2阐述体内湿气与血瘀状况。</w:t>
      </w:r>
    </w:p>
    <w:p>
      <w:pPr>
        <w:keepNext w:val="0"/>
        <w:keepLines w:val="0"/>
        <w:pageBreakBefore w:val="0"/>
        <w:numPr>
          <w:ilvl w:val="0"/>
          <w:numId w:val="1"/>
        </w:numPr>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体质辨识</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3.1根据人体9种体质，呈现检测者瞬间的体质状况，以及身体表现特征；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3.2根据体质的不同，同时也显示出瞬间的脉象情况，以此作为诊断依据。</w:t>
      </w:r>
    </w:p>
    <w:p>
      <w:pPr>
        <w:keepNext w:val="0"/>
        <w:keepLines w:val="0"/>
        <w:pageBreakBefore w:val="0"/>
        <w:numPr>
          <w:ilvl w:val="0"/>
          <w:numId w:val="1"/>
        </w:numPr>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显示舌诊结果，剖析舌质状况，提供中医诠释。</w:t>
      </w:r>
    </w:p>
    <w:p>
      <w:pPr>
        <w:keepNext w:val="0"/>
        <w:keepLines w:val="0"/>
        <w:pageBreakBefore w:val="0"/>
        <w:numPr>
          <w:ilvl w:val="0"/>
          <w:numId w:val="1"/>
        </w:numPr>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显示面诊结果，根据中医理论，提供中医诠释。</w:t>
      </w:r>
    </w:p>
    <w:p>
      <w:pPr>
        <w:keepNext w:val="0"/>
        <w:keepLines w:val="0"/>
        <w:pageBreakBefore w:val="0"/>
        <w:numPr>
          <w:ilvl w:val="0"/>
          <w:numId w:val="1"/>
        </w:numPr>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脏腑辨证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根据之前采集的舌面诊、指脉诊信息，呈现当前脏腑状况、剖析病理成因、详细病理阐述、具体临床表现、精准治疗方案及养生指导方案。</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7.指脉及血氧。精准识别</w:t>
      </w:r>
      <w:r>
        <w:rPr>
          <w:rFonts w:hint="eastAsia" w:asciiTheme="minorEastAsia" w:hAnsiTheme="minorEastAsia" w:eastAsiaTheme="minorEastAsia" w:cstheme="minorEastAsia"/>
          <w:sz w:val="21"/>
          <w:szCs w:val="21"/>
          <w:lang w:eastAsia="zh"/>
        </w:rPr>
        <w:t>患者</w:t>
      </w:r>
      <w:r>
        <w:rPr>
          <w:rFonts w:hint="eastAsia" w:asciiTheme="minorEastAsia" w:hAnsiTheme="minorEastAsia" w:eastAsiaTheme="minorEastAsia" w:cstheme="minorEastAsia"/>
          <w:sz w:val="21"/>
          <w:szCs w:val="21"/>
        </w:rPr>
        <w:t>脉象，呈现其脉象在临床中的具体表现，同时测定并提供</w:t>
      </w:r>
      <w:r>
        <w:rPr>
          <w:rFonts w:hint="eastAsia" w:asciiTheme="minorEastAsia" w:hAnsiTheme="minorEastAsia" w:eastAsiaTheme="minorEastAsia" w:cstheme="minorEastAsia"/>
          <w:sz w:val="21"/>
          <w:szCs w:val="21"/>
          <w:lang w:eastAsia="zh"/>
        </w:rPr>
        <w:t>患者</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eastAsia="zh"/>
        </w:rPr>
        <w:t>心率和</w:t>
      </w:r>
      <w:r>
        <w:rPr>
          <w:rFonts w:hint="eastAsia" w:asciiTheme="minorEastAsia" w:hAnsiTheme="minorEastAsia" w:eastAsiaTheme="minorEastAsia" w:cstheme="minorEastAsia"/>
          <w:sz w:val="21"/>
          <w:szCs w:val="21"/>
        </w:rPr>
        <w:t>血氧饱和度，并指出临床意义。</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eastAsia="zh"/>
        </w:rPr>
        <w:t>疾患风险预估</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8.1经过全方位的分析与评估，以掌握疾病潜在风险（心梗、血压、血糖、血脂、疲劳程度、焦虑度、抑郁程度、睡眠状态、咽炎、免疫力、胃炎、胃动力、颈椎病、脑供血、脊柱状态、肾功能等），检测风险项目不少于16种</w:t>
      </w:r>
      <w:r>
        <w:rPr>
          <w:rFonts w:hint="eastAsia" w:asciiTheme="minorEastAsia" w:hAnsiTheme="minorEastAsia" w:eastAsiaTheme="minorEastAsia" w:cstheme="minorEastAsia"/>
          <w:sz w:val="21"/>
          <w:szCs w:val="21"/>
          <w:lang w:eastAsia="zh"/>
        </w:rPr>
        <w:t>。</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8.2点击病症名称，给出详尽的解释说明。（病因探究、并发症预防、临床症状解析、生活习惯优化、生理机制分析，以及中西医综合干预措施，饮食与运动并重的全方位健康指导策略）。</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8.3运用经络学说、脏腑功能、气血运行、舌面象分析、脉象诊断及体质辨识，为</w:t>
      </w:r>
      <w:r>
        <w:rPr>
          <w:rFonts w:hint="eastAsia" w:asciiTheme="minorEastAsia" w:hAnsiTheme="minorEastAsia" w:eastAsiaTheme="minorEastAsia" w:cstheme="minorEastAsia"/>
          <w:sz w:val="21"/>
          <w:szCs w:val="21"/>
          <w:lang w:eastAsia="zh"/>
        </w:rPr>
        <w:t>患者</w:t>
      </w:r>
      <w:r>
        <w:rPr>
          <w:rFonts w:hint="eastAsia" w:asciiTheme="minorEastAsia" w:hAnsiTheme="minorEastAsia" w:eastAsiaTheme="minorEastAsia" w:cstheme="minorEastAsia"/>
          <w:sz w:val="21"/>
          <w:szCs w:val="21"/>
        </w:rPr>
        <w:t>提供个性化的调理建议（食疗滋补、运动强身、中医药疗、汤剂调养、茶饮养生、药膳调理、饮食宜忌、理疗保健），调理建议不少于8项。</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★9.检测结果可以通过打印机打印出来，也可以通过二维码扫描功能：系统给出二维码，检测者用手机浏览器进行扫描，来获取网页报告</w:t>
      </w:r>
      <w:r>
        <w:rPr>
          <w:rFonts w:hint="eastAsia" w:asciiTheme="minorEastAsia" w:hAnsiTheme="minorEastAsia" w:eastAsiaTheme="minorEastAsia" w:cstheme="minorEastAsia"/>
          <w:sz w:val="21"/>
          <w:szCs w:val="21"/>
          <w:lang w:eastAsia="zh"/>
        </w:rPr>
        <w:t>。</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eastAsia="zh"/>
        </w:rPr>
        <w:t>本系统配备账号保存功能，便于管理者迅速登录。</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
        </w:rPr>
        <w:t>本系统提供快速登录功能，已参与测试的用户可通过手机号便捷检索并进行检测。</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
        </w:rPr>
        <w:t>本系统具备病例查询功能，方便医师追溯疾病源头，全面了解患者身体状况，进而有效支持后续的干预治疗。</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
        </w:rPr>
        <w:t>查询以往检测结果时，需由管理者输入密码，以确保患者隐私得到妥善保护。</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本系统支持录入个人信息，包括药物过敏史、既往病史、过敏原、家族遗传病史以及女性月经史，以确保报告的准确性。</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15★子系统功能一致</w:t>
      </w:r>
    </w:p>
    <w:p>
      <w:pPr>
        <w:keepNext w:val="0"/>
        <w:keepLines w:val="0"/>
        <w:pageBreakBefore w:val="0"/>
        <w:kinsoku/>
        <w:wordWrap/>
        <w:overflowPunct/>
        <w:topLinePunct w:val="0"/>
        <w:autoSpaceDE/>
        <w:autoSpaceDN/>
        <w:bidi w:val="0"/>
        <w:adjustRightInd/>
        <w:spacing w:line="240" w:lineRule="auto"/>
        <w:ind w:firstLine="422" w:firstLineChars="200"/>
        <w:textAlignment w:val="auto"/>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bCs/>
          <w:sz w:val="21"/>
          <w:szCs w:val="21"/>
          <w:highlight w:val="yellow"/>
        </w:rPr>
        <w:t>硬件参数：</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1.主机尺寸为1680*550*450mm。</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2.设备显示器尺寸为32英寸。</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lang w:eastAsia="zh"/>
        </w:rPr>
      </w:pPr>
      <w:r>
        <w:rPr>
          <w:rFonts w:hint="eastAsia" w:asciiTheme="minorEastAsia" w:hAnsiTheme="minorEastAsia" w:eastAsiaTheme="minorEastAsia" w:cstheme="minorEastAsia"/>
          <w:sz w:val="21"/>
          <w:szCs w:val="21"/>
        </w:rPr>
        <w:t>3.设备显示器分辨率为1920*1080。</w:t>
      </w:r>
      <w:r>
        <w:rPr>
          <w:rFonts w:hint="eastAsia" w:asciiTheme="minorEastAsia" w:hAnsiTheme="minorEastAsia" w:eastAsiaTheme="minorEastAsia" w:cstheme="minorEastAsia"/>
          <w:sz w:val="21"/>
          <w:szCs w:val="21"/>
          <w:lang w:eastAsia="zh"/>
        </w:rPr>
        <w:t xml:space="preserve"> </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4.设备显示比例为16:9。</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5.设备主板采用高性能的处理器芯片：为瑞芯微3588。它具备强大的计算能力、图形处理能力以及丰富的接口等特性。</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6.系统内存为8G DDR3，具有更高的数据传输速率和更低的功耗等优势。</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7.系统存储64G。</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8.支持多点触控，操作灵敏精准的电容触摸屏触摸方式，操作手感舒适，透光率高，耐用性好，抗干扰能力强等优点。</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9.支持摄像头分辨率：500万像素。</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10.用户可根据自己的身高和使用习惯轻松调整其上下高度，使其将摄像头调整到合适的位置，使画面拍出的舌面象更加清晰，提高采集的准确率。</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11.具备补光灯，防止因光线、外界干扰等因素造成的灯光效果偏差。</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12.机身配有万向轮设计，能够极大提升设备使用的便捷性与灵活性。。</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13.支持采用高灵敏度的人体感应器，运用先进的红外技术，能够敏锐感知人体发出的红外线信号，并能够迅速捕捉到人体活动迹象，及时做出反应，感应灯也会及时亮起。</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★14.支持语音播报功能，生动的语音播报能为用户带来更好的交互体验；并且在采集过程中还加入了“渔舟唱晚”曲调，轻柔缓和的音律避免在采集过程中的无聊与烦躁情绪，有利于信号采集的准确率。</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15.设备配有有机玻璃挡板，可有效提高对视线造成的明显障碍，能在起到分隔空间作用的同时，保持良好的采集视觉效果。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16.系统支持以太网、WIFI、蓝牙连接功能，方便下载病例等操作。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17.系统支持转存、录屏、投射、自动旋转等功能。</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18.支持对设备位置进行定位功能，如设备被借出后方便查找。</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19.系统具备多种语言识别，也可自行添加与删减，方便全世界不同国家使用。</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20.系统对不同用户使用设置不同使用身份，方便用户管理。另外，还可以添加新用户共享一个系统，每个客户都将在您的系统上拥有个人空间，以便使用自定义的主屏幕、账号、应用和设置。</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21.用于教学使用，可分为教师机与学生机，各自有不同的登录账号和密码。</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22.系统具备个人字典，在拼写重要词语中可快速搜索出想要的内容。</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23.系统设置了指针速度，根据用户自身情况，可自行调整操作的指针速度。</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b/>
          <w:bCs/>
          <w:sz w:val="21"/>
          <w:szCs w:val="21"/>
          <w:lang w:eastAsia="zh"/>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lang w:eastAsia="zh"/>
        </w:rPr>
        <w:t>24.脉象探头参数</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.1.</w:t>
      </w:r>
      <w:r>
        <w:rPr>
          <w:rFonts w:hint="eastAsia" w:asciiTheme="minorEastAsia" w:hAnsiTheme="minorEastAsia" w:eastAsiaTheme="minorEastAsia" w:cstheme="minorEastAsia"/>
          <w:sz w:val="21"/>
          <w:szCs w:val="21"/>
        </w:rPr>
        <w:t>.采用指夹式红外光采集方式，操作简单，无需专业手法与技巧，使用户熟练掌握使用方法。安全性高、采集客观准确、便于数据分析与存储。</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2.测量范围在30-250bpm，覆盖人群广泛，适应不同年龄段及特殊人群需求；避免测量误差，以及适应动态变化，数据准确性和可靠性有保障。</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3.测量精度在±2bpm，对于监测评估健康与疾病进展和治疗起到关键性指标，通过精确测量的数值在预防疾病发生，并根据个体实际情况制定更加人性化的健康计划方案起到非常重要的作用。</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4.显示精度在1bpm，表示精准诊断，对于普通人群可及时调整生活方式，预防疾病发生；对于病症评估，为制定治疗方案提供可靠依据。</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
        </w:rPr>
        <w:t>.</w:t>
      </w:r>
      <w:r>
        <w:rPr>
          <w:rFonts w:hint="eastAsia" w:asciiTheme="minorEastAsia" w:hAnsiTheme="minorEastAsia" w:eastAsiaTheme="minorEastAsia" w:cstheme="minorEastAsia"/>
          <w:sz w:val="21"/>
          <w:szCs w:val="21"/>
        </w:rPr>
        <w:t>5.采样率为300Hz/秒，根据奈奎斯采样定理，为了能够准确地还原原始信号，采样率至少达到信号最高频率的两倍，300Hz的采样率绝对满足这一要求，有效避免因采样率不足导致的信号混叠和失真现象，保证采集到的脉象数据能够真实反映人体脉象的实际情况。</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25★子系统功能一致</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2" w:firstLineChars="200"/>
        <w:textAlignment w:val="auto"/>
        <w:rPr>
          <w:rFonts w:hint="eastAsia" w:asciiTheme="minorEastAsia" w:hAnsiTheme="minorEastAsia" w:eastAsiaTheme="minorEastAsia" w:cstheme="minorEastAsia"/>
          <w:b/>
          <w:bCs/>
          <w:i w:val="0"/>
          <w:caps w:val="0"/>
          <w:color w:val="000000"/>
          <w:spacing w:val="0"/>
          <w:sz w:val="21"/>
          <w:szCs w:val="21"/>
        </w:rPr>
      </w:pPr>
      <w:r>
        <w:rPr>
          <w:rFonts w:hint="eastAsia" w:asciiTheme="minorEastAsia" w:hAnsiTheme="minorEastAsia" w:cstheme="minorEastAsia"/>
          <w:b/>
          <w:bCs/>
          <w:i w:val="0"/>
          <w:caps w:val="0"/>
          <w:color w:val="000000"/>
          <w:spacing w:val="0"/>
          <w:sz w:val="21"/>
          <w:szCs w:val="21"/>
          <w:shd w:val="clear" w:fill="FFFFFF"/>
          <w:lang w:val="en-US" w:eastAsia="zh-CN"/>
        </w:rPr>
        <w:t>三、</w:t>
      </w:r>
      <w:r>
        <w:rPr>
          <w:rFonts w:hint="eastAsia" w:asciiTheme="minorEastAsia" w:hAnsiTheme="minorEastAsia" w:eastAsiaTheme="minorEastAsia" w:cstheme="minorEastAsia"/>
          <w:b/>
          <w:bCs/>
          <w:i w:val="0"/>
          <w:caps w:val="0"/>
          <w:color w:val="000000"/>
          <w:spacing w:val="0"/>
          <w:sz w:val="21"/>
          <w:szCs w:val="21"/>
          <w:shd w:val="clear" w:fill="FFFFFF"/>
        </w:rPr>
        <w:t>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firstLineChars="200"/>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1</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rPr>
        <w:t>采购单位与成交供应商应认真履行合同，由于某一方的过失使合同不能履行或造成其它后果的，由过失方承担相应责任；如在项目实施过程中，成交供应商违约情节严重，采购单位有权终止合同，由此造成采购单位的经济损失由成交供应商承担。如属双方过失，则根据各自过失的大小，分别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firstLineChars="200"/>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cstheme="minorEastAsia"/>
          <w:i w:val="0"/>
          <w:caps w:val="0"/>
          <w:color w:val="000000"/>
          <w:spacing w:val="0"/>
          <w:sz w:val="21"/>
          <w:szCs w:val="21"/>
          <w:shd w:val="clear" w:fill="FFFFFF"/>
          <w:lang w:val="en-US" w:eastAsia="zh-CN"/>
        </w:rPr>
        <w:t>2.</w:t>
      </w:r>
      <w:r>
        <w:rPr>
          <w:rFonts w:hint="eastAsia" w:asciiTheme="minorEastAsia" w:hAnsiTheme="minorEastAsia" w:eastAsiaTheme="minorEastAsia" w:cstheme="minorEastAsia"/>
          <w:i w:val="0"/>
          <w:caps w:val="0"/>
          <w:color w:val="000000"/>
          <w:spacing w:val="0"/>
          <w:sz w:val="21"/>
          <w:szCs w:val="21"/>
          <w:shd w:val="clear" w:fill="FFFFFF"/>
        </w:rPr>
        <w:t>由于不可抗力造成合同不能履行时，采购单位与成交供应商均不承担任如造成任何一方损失的，则由损失方自理。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firstLineChars="200"/>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3</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rPr>
        <w:t>采购单位与成交供应商在执行合同过程中所发生的争议，应先通过友好协商解决，协商不成时，任何一方有权诉诸人民法院。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cstheme="minorEastAsia"/>
          <w:i w:val="0"/>
          <w:caps w:val="0"/>
          <w:color w:val="000000"/>
          <w:spacing w:val="0"/>
          <w:sz w:val="21"/>
          <w:szCs w:val="21"/>
          <w:shd w:val="clear" w:fill="FFFFFF"/>
          <w:lang w:val="en-US" w:eastAsia="zh-CN"/>
        </w:rPr>
        <w:t>4</w:t>
      </w:r>
      <w:r>
        <w:rPr>
          <w:rFonts w:hint="eastAsia" w:asciiTheme="minorEastAsia" w:hAnsiTheme="minorEastAsia" w:eastAsiaTheme="minorEastAsia" w:cstheme="minorEastAsia"/>
          <w:i w:val="0"/>
          <w:caps w:val="0"/>
          <w:color w:val="000000"/>
          <w:spacing w:val="0"/>
          <w:sz w:val="21"/>
          <w:szCs w:val="21"/>
          <w:shd w:val="clear" w:fill="FFFFFF"/>
        </w:rPr>
        <w:t>.采购项目需要落实的政府采购政策情况：推行节能产品政府采购。推行环境标志产品政府采购。促进中小企业、监狱企业、残疾人福利性单位发展。规范进口产品采购政策。推行无线局域网产品政府采购。</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Style w:val="10"/>
          <w:rFonts w:hint="eastAsia" w:asciiTheme="minorEastAsia" w:hAnsiTheme="minorEastAsia" w:eastAsiaTheme="minorEastAsia" w:cstheme="minorEastAsia"/>
          <w:i w:val="0"/>
          <w:caps w:val="0"/>
          <w:color w:val="000000"/>
          <w:spacing w:val="0"/>
          <w:sz w:val="21"/>
          <w:szCs w:val="21"/>
          <w:shd w:val="clear" w:fill="FFFFFF"/>
          <w:lang w:val="en-US" w:eastAsia="zh-CN"/>
        </w:rPr>
      </w:pPr>
      <w:r>
        <w:rPr>
          <w:rStyle w:val="10"/>
          <w:rFonts w:hint="eastAsia" w:asciiTheme="minorEastAsia" w:hAnsiTheme="minorEastAsia" w:cstheme="minorEastAsia"/>
          <w:i w:val="0"/>
          <w:caps w:val="0"/>
          <w:color w:val="000000"/>
          <w:spacing w:val="0"/>
          <w:sz w:val="21"/>
          <w:szCs w:val="21"/>
          <w:shd w:val="clear" w:fill="FFFFFF"/>
          <w:lang w:val="en-US" w:eastAsia="zh-CN"/>
        </w:rPr>
        <w:t>四、</w:t>
      </w:r>
      <w:r>
        <w:rPr>
          <w:rStyle w:val="10"/>
          <w:rFonts w:hint="eastAsia" w:asciiTheme="minorEastAsia" w:hAnsiTheme="minorEastAsia" w:eastAsiaTheme="minorEastAsia" w:cstheme="minorEastAsia"/>
          <w:i w:val="0"/>
          <w:caps w:val="0"/>
          <w:color w:val="000000"/>
          <w:spacing w:val="0"/>
          <w:sz w:val="21"/>
          <w:szCs w:val="21"/>
          <w:shd w:val="clear" w:fill="FFFFFF"/>
        </w:rPr>
        <w:t>报价文件的</w:t>
      </w:r>
      <w:r>
        <w:rPr>
          <w:rStyle w:val="10"/>
          <w:rFonts w:hint="eastAsia" w:asciiTheme="minorEastAsia" w:hAnsiTheme="minorEastAsia" w:eastAsiaTheme="minorEastAsia" w:cstheme="minorEastAsia"/>
          <w:i w:val="0"/>
          <w:caps w:val="0"/>
          <w:color w:val="000000"/>
          <w:spacing w:val="0"/>
          <w:sz w:val="21"/>
          <w:szCs w:val="21"/>
          <w:shd w:val="clear" w:fill="FFFFFF"/>
          <w:lang w:val="en-US" w:eastAsia="zh-CN"/>
        </w:rPr>
        <w:t>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Style w:val="10"/>
          <w:rFonts w:hint="eastAsia" w:asciiTheme="minorEastAsia" w:hAnsiTheme="minorEastAsia" w:eastAsiaTheme="minorEastAsia" w:cstheme="minorEastAsia"/>
          <w:b w:val="0"/>
          <w:bCs/>
          <w:i w:val="0"/>
          <w:caps w:val="0"/>
          <w:color w:val="000000"/>
          <w:spacing w:val="0"/>
          <w:sz w:val="21"/>
          <w:szCs w:val="21"/>
          <w:shd w:val="clear" w:fill="FFFFFF"/>
          <w:lang w:val="en-US" w:eastAsia="zh-CN"/>
        </w:rPr>
      </w:pPr>
      <w:r>
        <w:rPr>
          <w:rStyle w:val="10"/>
          <w:rFonts w:hint="eastAsia" w:asciiTheme="minorEastAsia" w:hAnsiTheme="minorEastAsia" w:cstheme="minorEastAsia"/>
          <w:b w:val="0"/>
          <w:bCs w:val="0"/>
          <w:i w:val="0"/>
          <w:caps w:val="0"/>
          <w:color w:val="000000"/>
          <w:spacing w:val="0"/>
          <w:sz w:val="21"/>
          <w:szCs w:val="21"/>
          <w:shd w:val="clear" w:fill="FFFFFF"/>
          <w:lang w:val="en-US" w:eastAsia="zh-CN"/>
        </w:rPr>
        <w:t>1.</w:t>
      </w:r>
      <w:r>
        <w:rPr>
          <w:rStyle w:val="10"/>
          <w:rFonts w:hint="eastAsia" w:asciiTheme="minorEastAsia" w:hAnsiTheme="minorEastAsia" w:eastAsiaTheme="minorEastAsia" w:cstheme="minorEastAsia"/>
          <w:b w:val="0"/>
          <w:bCs w:val="0"/>
          <w:i w:val="0"/>
          <w:caps w:val="0"/>
          <w:color w:val="000000"/>
          <w:spacing w:val="0"/>
          <w:sz w:val="21"/>
          <w:szCs w:val="21"/>
          <w:shd w:val="clear" w:fill="FFFFFF"/>
          <w:lang w:val="en-US" w:eastAsia="zh-CN"/>
        </w:rPr>
        <w:t>报价清单（按照本项目具体的需求做出详细报价清单及报价明细，盖章并留好联系方式）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Theme="minorEastAsia" w:hAnsiTheme="minorEastAsia" w:eastAsiaTheme="minorEastAsia" w:cstheme="minorEastAsia"/>
          <w:i w:val="0"/>
          <w:caps w:val="0"/>
          <w:color w:val="000000"/>
          <w:spacing w:val="0"/>
          <w:sz w:val="21"/>
          <w:szCs w:val="21"/>
          <w:shd w:val="clear" w:fill="FFFFFF"/>
        </w:rPr>
      </w:pPr>
      <w:r>
        <w:rPr>
          <w:rStyle w:val="10"/>
          <w:rFonts w:hint="eastAsia" w:asciiTheme="minorEastAsia" w:hAnsiTheme="minorEastAsia" w:cstheme="minorEastAsia"/>
          <w:b w:val="0"/>
          <w:bCs/>
          <w:i w:val="0"/>
          <w:caps w:val="0"/>
          <w:color w:val="000000"/>
          <w:spacing w:val="0"/>
          <w:sz w:val="21"/>
          <w:szCs w:val="21"/>
          <w:shd w:val="clear" w:fill="FFFFFF"/>
          <w:lang w:val="en-US" w:eastAsia="zh-CN"/>
        </w:rPr>
        <w:t>2.</w:t>
      </w:r>
      <w:r>
        <w:rPr>
          <w:rStyle w:val="10"/>
          <w:rFonts w:hint="eastAsia" w:asciiTheme="minorEastAsia" w:hAnsiTheme="minorEastAsia" w:eastAsiaTheme="minorEastAsia" w:cstheme="minorEastAsia"/>
          <w:b w:val="0"/>
          <w:bCs/>
          <w:i w:val="0"/>
          <w:caps w:val="0"/>
          <w:color w:val="000000"/>
          <w:spacing w:val="0"/>
          <w:sz w:val="21"/>
          <w:szCs w:val="21"/>
          <w:shd w:val="clear" w:fill="FFFFFF"/>
          <w:lang w:val="en-US" w:eastAsia="zh-CN"/>
        </w:rPr>
        <w:t>营业执照复印件（盖章）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422" w:firstLineChars="200"/>
        <w:textAlignment w:val="auto"/>
        <w:rPr>
          <w:rFonts w:hint="eastAsia" w:asciiTheme="minorEastAsia" w:hAnsiTheme="minorEastAsia" w:eastAsiaTheme="minorEastAsia" w:cstheme="minorEastAsia"/>
          <w:i w:val="0"/>
          <w:caps w:val="0"/>
          <w:color w:val="FF0000"/>
          <w:spacing w:val="0"/>
          <w:sz w:val="21"/>
          <w:szCs w:val="21"/>
          <w:shd w:val="clear" w:fill="FFFFFF"/>
          <w:lang w:val="en-US" w:eastAsia="zh-CN"/>
        </w:rPr>
      </w:pPr>
      <w:r>
        <w:rPr>
          <w:rFonts w:hint="eastAsia" w:asciiTheme="minorEastAsia" w:hAnsiTheme="minorEastAsia" w:eastAsiaTheme="minorEastAsia" w:cstheme="minorEastAsia"/>
          <w:b/>
          <w:color w:val="FF0000"/>
          <w:sz w:val="21"/>
          <w:szCs w:val="21"/>
        </w:rPr>
        <w:t>★</w:t>
      </w:r>
      <w:r>
        <w:rPr>
          <w:rFonts w:hint="eastAsia" w:asciiTheme="minorEastAsia" w:hAnsiTheme="minorEastAsia" w:eastAsiaTheme="minorEastAsia" w:cstheme="minorEastAsia"/>
          <w:b/>
          <w:bCs w:val="0"/>
          <w:color w:val="FF0000"/>
          <w:sz w:val="21"/>
          <w:szCs w:val="21"/>
          <w:lang w:val="en-US" w:eastAsia="zh-CN"/>
        </w:rPr>
        <w:t>报价文件必须做好密封处理：</w:t>
      </w:r>
      <w:r>
        <w:rPr>
          <w:rFonts w:hint="eastAsia" w:asciiTheme="minorEastAsia" w:hAnsiTheme="minorEastAsia" w:eastAsiaTheme="minorEastAsia" w:cstheme="minorEastAsia"/>
          <w:b/>
          <w:bCs w:val="0"/>
          <w:color w:val="FF0000"/>
          <w:sz w:val="21"/>
          <w:szCs w:val="21"/>
          <w:lang w:val="en-US" w:eastAsia="zh-CN"/>
        </w:rPr>
        <w:br w:type="textWrapping"/>
      </w:r>
      <w:r>
        <w:rPr>
          <w:rFonts w:hint="eastAsia" w:asciiTheme="minorEastAsia" w:hAnsiTheme="minorEastAsia" w:eastAsiaTheme="minorEastAsia" w:cstheme="minorEastAsia"/>
          <w:b/>
          <w:bCs w:val="0"/>
          <w:color w:val="FF0000"/>
          <w:sz w:val="21"/>
          <w:szCs w:val="21"/>
          <w:lang w:val="en-US" w:eastAsia="zh-CN"/>
        </w:rPr>
        <w:t>正面写好项目名称，公司名称，报价日期，联系方式，背面贴好封条并盖章，否则将视为无效报价。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0" w:leftChars="0" w:right="0" w:rightChars="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Style w:val="10"/>
          <w:rFonts w:hint="eastAsia" w:asciiTheme="minorEastAsia" w:hAnsiTheme="minorEastAsia" w:eastAsiaTheme="minorEastAsia" w:cstheme="minorEastAsia"/>
          <w:i w:val="0"/>
          <w:caps w:val="0"/>
          <w:color w:val="000000"/>
          <w:spacing w:val="0"/>
          <w:sz w:val="21"/>
          <w:szCs w:val="21"/>
          <w:shd w:val="clear" w:fill="FFFFFF"/>
          <w:lang w:val="en-US"/>
        </w:rPr>
      </w:pPr>
      <w:r>
        <w:rPr>
          <w:rStyle w:val="10"/>
          <w:rFonts w:hint="eastAsia" w:asciiTheme="minorEastAsia" w:hAnsiTheme="minorEastAsia" w:cstheme="minorEastAsia"/>
          <w:i w:val="0"/>
          <w:caps w:val="0"/>
          <w:color w:val="000000"/>
          <w:spacing w:val="0"/>
          <w:sz w:val="21"/>
          <w:szCs w:val="21"/>
          <w:shd w:val="clear" w:fill="FFFFFF"/>
          <w:lang w:val="en-US" w:eastAsia="zh-CN"/>
        </w:rPr>
        <w:t>五、</w:t>
      </w:r>
      <w:r>
        <w:rPr>
          <w:rStyle w:val="10"/>
          <w:rFonts w:hint="eastAsia" w:asciiTheme="minorEastAsia" w:hAnsiTheme="minorEastAsia" w:eastAsiaTheme="minorEastAsia" w:cstheme="minorEastAsia"/>
          <w:i w:val="0"/>
          <w:caps w:val="0"/>
          <w:color w:val="000000"/>
          <w:spacing w:val="0"/>
          <w:sz w:val="21"/>
          <w:szCs w:val="21"/>
          <w:shd w:val="clear" w:fill="FFFFFF"/>
        </w:rPr>
        <w:t>报价文件的递交方式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报价文件递交地点</w:t>
      </w:r>
      <w:r>
        <w:rPr>
          <w:rFonts w:hint="eastAsia" w:asciiTheme="minorEastAsia" w:hAnsiTheme="minorEastAsia" w:eastAsia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可发快递</w:t>
      </w:r>
      <w:r>
        <w:rPr>
          <w:rFonts w:hint="eastAsia" w:asciiTheme="minorEastAsia" w:hAnsiTheme="minorEastAsia" w:eastAsia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上海市奉贤区南亭公路2080号图文楼206室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收件人：钱老师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电话：13501712906  </w:t>
      </w:r>
      <w:r>
        <w:rPr>
          <w:rFonts w:hint="eastAsia" w:asciiTheme="minorEastAsia" w:hAnsiTheme="minorEastAsia" w:eastAsiaTheme="minorEastAsia" w:cstheme="minorEastAsia"/>
          <w:i w:val="0"/>
          <w:caps w:val="0"/>
          <w:color w:val="000000"/>
          <w:spacing w:val="0"/>
          <w:sz w:val="21"/>
          <w:szCs w:val="21"/>
          <w:shd w:val="clear" w:fill="FFFFFF"/>
        </w:rPr>
        <w:t>021-57401582</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6FFB48"/>
    <w:multiLevelType w:val="singleLevel"/>
    <w:tmpl w:val="F86FFB48"/>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6B7"/>
    <w:rsid w:val="046306EA"/>
    <w:rsid w:val="07DA32B4"/>
    <w:rsid w:val="09F754EE"/>
    <w:rsid w:val="0A336800"/>
    <w:rsid w:val="0B510B58"/>
    <w:rsid w:val="112C371A"/>
    <w:rsid w:val="13BD5E07"/>
    <w:rsid w:val="150D306F"/>
    <w:rsid w:val="16840B5D"/>
    <w:rsid w:val="19E26EA3"/>
    <w:rsid w:val="1EE8533A"/>
    <w:rsid w:val="22A137D7"/>
    <w:rsid w:val="28E021A3"/>
    <w:rsid w:val="2A8F77B2"/>
    <w:rsid w:val="2E6D4436"/>
    <w:rsid w:val="363C5DBE"/>
    <w:rsid w:val="364856C4"/>
    <w:rsid w:val="38B1795F"/>
    <w:rsid w:val="3DC75201"/>
    <w:rsid w:val="3DF74F07"/>
    <w:rsid w:val="41716C6B"/>
    <w:rsid w:val="42A15CD6"/>
    <w:rsid w:val="456B6C1D"/>
    <w:rsid w:val="4CEF2649"/>
    <w:rsid w:val="550F75BC"/>
    <w:rsid w:val="58D93CB3"/>
    <w:rsid w:val="5AD0442E"/>
    <w:rsid w:val="5C2020FD"/>
    <w:rsid w:val="5C762863"/>
    <w:rsid w:val="61162DC6"/>
    <w:rsid w:val="64D872AD"/>
    <w:rsid w:val="680C3E11"/>
    <w:rsid w:val="69283734"/>
    <w:rsid w:val="692C7A3B"/>
    <w:rsid w:val="6A1E1172"/>
    <w:rsid w:val="73846B54"/>
    <w:rsid w:val="74822671"/>
    <w:rsid w:val="7506341E"/>
    <w:rsid w:val="7A411D67"/>
    <w:rsid w:val="7D70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9"/>
    <w:pPr>
      <w:spacing w:before="260" w:after="260" w:line="412" w:lineRule="auto"/>
      <w:outlineLvl w:val="1"/>
    </w:pPr>
    <w:rPr>
      <w:rFonts w:ascii="Arial" w:hAnsi="Arial" w:eastAsia="黑体"/>
      <w:b/>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tabs>
        <w:tab w:val="left" w:pos="1260"/>
      </w:tabs>
      <w:spacing w:before="120" w:after="120"/>
      <w:ind w:firstLine="560" w:firstLineChars="200"/>
      <w:jc w:val="left"/>
    </w:pPr>
    <w:rPr>
      <w:rFonts w:ascii="楷体_GB2312" w:hAnsi="宋体" w:eastAsia="楷体_GB2312"/>
      <w:color w:val="000000"/>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paragraph" w:customStyle="1" w:styleId="12">
    <w:name w:val="表格"/>
    <w:basedOn w:val="1"/>
    <w:qFormat/>
    <w:uiPriority w:val="0"/>
    <w:pPr>
      <w:spacing w:line="400" w:lineRule="exact"/>
    </w:pPr>
    <w:rPr>
      <w:rFonts w:ascii="Times New Roman" w:hAnsi="Times New Roman" w:eastAsia="宋体" w:cs="Times New Roman"/>
      <w:sz w:val="24"/>
      <w:szCs w:val="24"/>
    </w:r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2026-04-08T05:29:00Z</dcterms:created>
  <dc:creator>USER</dc:creator>
  <cp:lastModifiedBy>USER</cp:lastModifiedBy>
  <dcterms:modified xsi:type="dcterms:W3CDTF">2026-05-20T05:35:18Z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