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highlight w:val="none"/>
          <w:lang w:val="en-US" w:eastAsia="zh-CN"/>
        </w:rPr>
        <w:t xml:space="preserve">课程资源建设 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合同签订后4个月内完成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1、完成《园林植物栽培与养护》课程策划。完成200min课程视频拍摄及制作服务。</w:t>
            </w:r>
          </w:p>
          <w:p>
            <w:pPr>
              <w:keepNext w:val="0"/>
              <w:keepLines w:val="0"/>
              <w:pageBreakBefore w:val="0"/>
              <w:tabs>
                <w:tab w:val="left" w:pos="617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line="36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2、验收清单：把制作的课程视频内容以光盘/硬盘/U盘等形式进行拷贝交付。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2026年6月25日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项目主要内容、数量及简要规格描述或项目基本概况介绍：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为推进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园林植物栽培与养护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》</w:t>
      </w:r>
      <w:r>
        <w:rPr>
          <w:rFonts w:hint="eastAsia" w:ascii="宋体" w:hAnsi="宋体" w:eastAsia="宋体" w:cs="宋体"/>
          <w:kern w:val="0"/>
          <w:sz w:val="21"/>
          <w:szCs w:val="21"/>
        </w:rPr>
        <w:t>课程在线开放课程建设，现需系统化录制高质量教学视频资源。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after="50" w:line="36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  <w:t>主要内容：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after="50"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课程新建视频资源成片总时长不少于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200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分钟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（一）课程策划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在线开放课程资源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建设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服务需要提供翻转课堂和混合式的课程设计，基于高阶性、创新性、挑战度的课程建设要求，专业建设咨询服务。包含：课程定位、课程背景、教学目标、教学内容、教学形式的优化和提升，包括在线课程设计、见面课设计、在线论坛设计和翻转课堂教学设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（二）课程视频拍摄及制作服务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1.课程拍摄：根据课程策划的需求进行拍摄，可选拍摄模式包括但不限于：多机位、多场景拍摄，访谈类拍摄等。根据课程性质，课程顾问团队与教师一起确定课程最合理拍摄方式，为教师提供形象设计及建议和基本上镜化妆服务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（1）课程时长：课程应时长应根据课程性质和教师团队要求合理设计。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（2）录制场地：录制场地应光线充足、环境安静、整洁.避免在镜头中出现有广告嫌疑或与课程无关的标识等内容。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（3）课程形式：成片统一采用单一视频形式。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（4）录制方式及设备：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20" w:leftChars="20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①拍摄方式：根据课程内容，采用多机位拍摄（2机位及以上）.机位设置应满足完整记录课程教学的要求。画面以中景、近景为主，式样应根据授课内容设计。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20" w:leftChars="20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②后期制作设备：使用相应的非线性编辑系统。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多媒体课件的制作及录制：针对实际情况选择适当的摄制方式，确保成片中的多媒体演示、实物展示及板书完整、清晰。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 xml:space="preserve">2.视频制作：基于对于课程策划和包装设计、课程内容的理解，进行精细化制作，呈现老师的教学优势、课程特色。包含：专人进行文本校对编辑，配合老师进行富媒体素材整理、根据脚本精细化剪辑、对教师提供的专业素材进行相应的制作处理、添加字幕等，一课一议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（1）片头与片尾：根据课程内容,以多种形式贴切设计制作片头,应包括:学校LOGO、课程名称、主讲教师姓名、专业技术职务、单位等信息。片尾包括版权单位等信息。不允许出现中标供应商的LOGO。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（2）动画设计：动画应充分满足在线课程内容要求,在此基础上采用生动简洁的动画表现形式设计制作。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（3）技术指标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20" w:leftChars="20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①视频信号源</w:t>
      </w:r>
    </w:p>
    <w:p>
      <w:pPr>
        <w:pStyle w:val="1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稳定性：全片图像同步性能稳定,无失步现象,CTL同步控制信号必须连续：图像无抖动跳跃、色彩无突变、编辑点处图像稳定。</w:t>
      </w:r>
    </w:p>
    <w:p>
      <w:pPr>
        <w:pStyle w:val="1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信噪比：图像信噪比不低于55dB,无明显杂波。</w:t>
      </w:r>
    </w:p>
    <w:p>
      <w:pPr>
        <w:pStyle w:val="1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色调：白平衡正确,无明显偏色,多机拍摄的镜头衔接处无明显色差。</w:t>
      </w:r>
    </w:p>
    <w:p>
      <w:pPr>
        <w:pStyle w:val="1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视频电平：视频全讯号幅度为1Ⅴp-p,最大不超过1.1Ⅴp-p。其中,消隐电平为0V时,白电平幅度0.7Ⅴp-p,同步信号-0.3V,色同步信号幅度0.3V p-p (以消隐线上下对称),全片一致。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20" w:leftChars="20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②音频信号源</w:t>
      </w:r>
    </w:p>
    <w:p>
      <w:pPr>
        <w:pStyle w:val="1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声道：中文内容音频信号记录于第1声道,音乐、音效、同期声记录于第2声道,若有其他文字解说记录于第3声道(如录音设备无第3声道.则录于第2声道)。</w:t>
      </w:r>
    </w:p>
    <w:p>
      <w:pPr>
        <w:pStyle w:val="1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电平指标：-2db —— -8db声音应无明显失真、放音过冲、过弱，音频信噪比不低于48db。声音和画面要求同步，无交流声或其他杂音等缺陷。</w:t>
      </w:r>
    </w:p>
    <w:p>
      <w:pPr>
        <w:pStyle w:val="1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伴音清晰、饱满、圆润/无失真、噪声杂音干扰、音量忽大忽小现象。解说声与现场声无明显比例失调,解说声与背景音乐无明显比例失调。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420" w:leftChars="20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③音、视频交付文件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交付载体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所有视频文件及相应的SRT字幕文件应提交两种格式.一是按压缩和封装要求的格式.常规为MP4,另一种是未压缩处理生成的原始文件。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每门课程的全部素材（包括动画）及非编工程文件应按原始格式需要在质保期内保留备份。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视频压缩格式及技术参数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视频压缩采用H.264/AVC (MPEG-4 Part10)编码、使用二次编码、不包含字幕的MP4格式。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视频码流率：在保证单个知识点视频文件不大于200M的前提下,动态码流的最高码率不高于2500Kbps,最低码率不得低于1024Kbps。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视频分辨率为1080p：采用高清16:9拍摄,设定为1920×1080。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视频画幅宽高比：分辨率设定为1920×1080,选定16:9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视频帧率为25帧/秒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扫描方式采用逐行扫描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音频压缩格式及技术参数：音频压缩采用AAC格式(MPEG4 Part3)，采样率48KHz，音频码流率128Kbps (恒定)，必须是双声道,必须做混音、压限等优化音频的处理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封装：采用MP4封装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外挂字幕文件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字幕文件格式：独立的SRT格式的唱词文件。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唱词的行数要求：每屏只有一行唱词。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唱词的字数要求：每行不超过20个字。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唱词的位置：确保每屏唱词出现位置一致。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唱词中的标点符号：只有书名号及书名号中的标点、间隔号、连接号、具有特殊含意的词语的引号可以出现在唱词中，在每屏唱词中用空格代替标点表示语气停顿，所有标点及空格均使用全角。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唱词的断句：不简单按照字数断句，以内容为断句依据。</w:t>
      </w:r>
    </w:p>
    <w:p>
      <w:pPr>
        <w:pStyle w:val="12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唱词尽量以文本文字呈现；不宜用文本文字呈现的、且在视频画面中已经通过PPT、板书等方式显示清楚的，可以不加该行唱词。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</w:rPr>
        <w:t>交付：根据学校需求，把制作的课程视频内容以光盘/硬盘/U盘等形式进行拷贝，标明课程名称及负责人等信息交付给学校。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1C30C0"/>
    <w:multiLevelType w:val="singleLevel"/>
    <w:tmpl w:val="CC1C30C0"/>
    <w:lvl w:ilvl="0" w:tentative="0">
      <w:start w:val="5"/>
      <w:numFmt w:val="decimal"/>
      <w:suff w:val="nothing"/>
      <w:lvlText w:val="（%1）"/>
      <w:lvlJc w:val="left"/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B7129CD"/>
    <w:multiLevelType w:val="multilevel"/>
    <w:tmpl w:val="3B7129CD"/>
    <w:lvl w:ilvl="0" w:tentative="0">
      <w:start w:val="1"/>
      <w:numFmt w:val="bullet"/>
      <w:lvlText w:val=""/>
      <w:lvlJc w:val="left"/>
      <w:pPr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620" w:hanging="420"/>
      </w:pPr>
      <w:rPr>
        <w:rFonts w:hint="default" w:ascii="Wingdings" w:hAnsi="Wingdings"/>
      </w:rPr>
    </w:lvl>
  </w:abstractNum>
  <w:abstractNum w:abstractNumId="3">
    <w:nsid w:val="405A7EDF"/>
    <w:multiLevelType w:val="multilevel"/>
    <w:tmpl w:val="405A7EDF"/>
    <w:lvl w:ilvl="0" w:tentative="0">
      <w:start w:val="1"/>
      <w:numFmt w:val="lowerLetter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41C84C20"/>
    <w:multiLevelType w:val="multilevel"/>
    <w:tmpl w:val="41C84C20"/>
    <w:lvl w:ilvl="0" w:tentative="0">
      <w:start w:val="1"/>
      <w:numFmt w:val="lowerLetter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1317C19"/>
    <w:multiLevelType w:val="multilevel"/>
    <w:tmpl w:val="51317C19"/>
    <w:lvl w:ilvl="0" w:tentative="0">
      <w:start w:val="1"/>
      <w:numFmt w:val="lowerLetter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3BB15F7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8C925A7"/>
    <w:rsid w:val="4CEF2649"/>
    <w:rsid w:val="50CD2E21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2026-06-17T02:32:25Z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