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rPr>
        <w:t>人设考点考试技术服务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46000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项目时限为合同签订后1年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按每次考试具体人数付款和其他相对应服务付款，付款为每季度结帐一次。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以模拟考试、试考或正式考试完成，做为验收标准。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2026年6月30日</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0"/>
          <w:rFonts w:hint="eastAsia" w:ascii="宋体" w:hAnsi="宋体" w:eastAsia="宋体" w:cs="宋体"/>
          <w:i w:val="0"/>
          <w:caps w:val="0"/>
          <w:color w:val="000000"/>
          <w:spacing w:val="0"/>
          <w:sz w:val="21"/>
          <w:szCs w:val="21"/>
          <w:shd w:val="clear" w:fill="FFFFFF"/>
        </w:rPr>
        <w:t>二、项目</w:t>
      </w:r>
      <w:r>
        <w:rPr>
          <w:rStyle w:val="10"/>
          <w:rFonts w:hint="eastAsia" w:ascii="宋体" w:hAnsi="宋体" w:eastAsia="宋体" w:cs="宋体"/>
          <w:i w:val="0"/>
          <w:caps w:val="0"/>
          <w:color w:val="000000"/>
          <w:spacing w:val="0"/>
          <w:sz w:val="21"/>
          <w:szCs w:val="21"/>
          <w:shd w:val="clear" w:fill="FFFFFF"/>
          <w:lang w:val="en-US" w:eastAsia="zh-CN"/>
        </w:rPr>
        <w:t>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highlight w:val="yellow"/>
          <w:shd w:val="clear" w:fill="FFFFFF"/>
        </w:rPr>
      </w:pPr>
      <w:r>
        <w:rPr>
          <w:rFonts w:hint="eastAsia" w:ascii="宋体" w:hAnsi="宋体" w:eastAsia="宋体" w:cs="宋体"/>
          <w:b/>
          <w:bCs/>
          <w:i w:val="0"/>
          <w:caps w:val="0"/>
          <w:color w:val="000000"/>
          <w:spacing w:val="0"/>
          <w:sz w:val="21"/>
          <w:szCs w:val="21"/>
          <w:highlight w:val="yellow"/>
          <w:shd w:val="clear" w:fill="FFFFFF"/>
        </w:rPr>
        <w:t>项目主要内容、数量及简要规格描述或项目基本概况介绍：</w:t>
      </w:r>
    </w:p>
    <w:p>
      <w:pPr>
        <w:spacing w:before="156" w:beforeLines="50" w:line="312" w:lineRule="auto"/>
        <w:ind w:firstLine="420" w:firstLineChars="200"/>
        <w:rPr>
          <w:rFonts w:hint="default" w:ascii="宋体" w:hAnsi="宋体" w:eastAsia="宋体" w:cs="宋体"/>
          <w:bCs/>
          <w:sz w:val="21"/>
          <w:szCs w:val="21"/>
          <w:lang w:val="en-US" w:eastAsia="zh-CN"/>
        </w:rPr>
      </w:pPr>
      <w:r>
        <w:rPr>
          <w:rFonts w:hint="eastAsia" w:ascii="宋体" w:hAnsi="宋体" w:eastAsia="宋体" w:cs="宋体"/>
          <w:bCs/>
          <w:sz w:val="21"/>
          <w:szCs w:val="21"/>
        </w:rPr>
        <w:t>上海市职业技能鉴定中心的社会化技能等级评价项目需要，承接评价任务中的考务安排及实施工作进行信息化技术支持（甲方为上海城建学院，乙方为承接方）</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具体项目需求如下：</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甲方负责对接上海市职业技能鉴定中心的工作，乙方配合甲方完成其承接的工作。</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收费标准按每人次收费。各项收费需详细列出。</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甲方按上海市职业技能鉴定中心相关需求提供考试方案、流程管理方案，乙方对其方案进行数字化转换处理。</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甲方提供参加鉴定评价的考生信息，乙方按甲方方案进行考务安排、提供机考软件、站所考务管理软件、进行成绩回收处理，返回符合上海市职业技能鉴定中心要求的成绩上传文档。</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乙方可提供证书数据的格式转换服务（数字化服务）并且转换后的数据达到打印或印刷要求，证书模板由甲方按上海市职业技能鉴定中心提供模板提供。</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乙方负责职业标准信息导入、理论题库数据导入、操作题数据导入、出题规则导入、评分规则导入、站所信息导入、考位信息导入、考评员考位信息导入。</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乙方提供理论鉴定平台软件、站所考务管理软件，甲方提供相应配套的软、硬件及相关的运行环境。</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乙方按时返回考务数据包、机考数据包、站所数据包、考生成绩包。</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如有新工种（职业等级）增加，乙方在一个自然月时间内提供新增服务。试考结束后，按甲方需求提前2周提供合规的考试信息；收到考试结果包后，4个工作日内返回成绩。系统首次用于试考，乙方提供现场技术支持、系统正常运行乙方提供非现场技术支持。必要时根据甲方需要可提供现场技术支持。</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乙方免费提供考试过程中自然产生的数据、常规的统计数据，以常用的数字化表格给到甲方。</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各项目试考前，乙方需提供技术培训。</w:t>
      </w:r>
    </w:p>
    <w:p>
      <w:pPr>
        <w:numPr>
          <w:ilvl w:val="0"/>
          <w:numId w:val="1"/>
        </w:numPr>
        <w:spacing w:before="156" w:beforeLines="50" w:line="312" w:lineRule="auto"/>
        <w:ind w:left="1276" w:hanging="850"/>
        <w:rPr>
          <w:rFonts w:hint="eastAsia" w:ascii="宋体" w:hAnsi="宋体" w:eastAsia="宋体" w:cs="宋体"/>
          <w:bCs/>
          <w:sz w:val="21"/>
          <w:szCs w:val="21"/>
        </w:rPr>
      </w:pPr>
      <w:r>
        <w:rPr>
          <w:rFonts w:hint="eastAsia" w:ascii="宋体" w:hAnsi="宋体" w:eastAsia="宋体" w:cs="宋体"/>
          <w:bCs/>
          <w:sz w:val="21"/>
          <w:szCs w:val="21"/>
        </w:rPr>
        <w:t>乙方免费更新最新的软件功能；并保障好更新后甲方第一次使用新版本软件考试期的各项问题（视具体情况选择网上或现场运维）。</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合约到期后，甲方可自行删除乙方提供的软件。</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考试期间技术保障需一小时内立刻响应。日常运维保障需提供7×8小时服务。</w:t>
      </w:r>
    </w:p>
    <w:p>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b/>
          <w:color w:val="FF0000"/>
          <w:sz w:val="21"/>
          <w:szCs w:val="21"/>
          <w:u w:val="single"/>
        </w:rPr>
        <w:t>★</w:t>
      </w:r>
      <w:r>
        <w:rPr>
          <w:rFonts w:hint="eastAsia" w:ascii="宋体" w:hAnsi="宋体" w:eastAsia="宋体" w:cs="宋体"/>
          <w:b w:val="0"/>
          <w:bCs/>
          <w:sz w:val="21"/>
          <w:szCs w:val="21"/>
          <w:u w:val="single"/>
        </w:rPr>
        <w:t>需有承接上海市职业技能鉴定中心社会化技能等级项目信息化技术服务经验，</w:t>
      </w:r>
      <w:r>
        <w:rPr>
          <w:rFonts w:hint="eastAsia" w:ascii="宋体" w:hAnsi="宋体" w:eastAsia="宋体" w:cs="宋体"/>
          <w:b w:val="0"/>
          <w:bCs/>
          <w:sz w:val="21"/>
          <w:szCs w:val="21"/>
          <w:u w:val="single"/>
          <w:lang w:val="en-US" w:eastAsia="zh-CN"/>
        </w:rPr>
        <w:t>提供相关业绩，合同等材料证明。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pPr>
        <w:pStyle w:val="6"/>
        <w:widowControl/>
        <w:numPr>
          <w:ilvl w:val="0"/>
          <w:numId w:val="2"/>
        </w:numPr>
        <w:shd w:val="clear" w:color="auto" w:fill="FFFFFF"/>
        <w:spacing w:beforeAutospacing="0" w:afterAutospacing="0" w:line="360" w:lineRule="auto"/>
        <w:ind w:firstLine="420" w:firstLineChars="200"/>
        <w:rPr>
          <w:rFonts w:hint="eastAsia" w:ascii="宋体" w:hAnsi="宋体" w:eastAsia="宋体" w:cs="宋体"/>
          <w:b w:val="0"/>
          <w:bCs/>
          <w:color w:val="000000"/>
          <w:sz w:val="21"/>
          <w:szCs w:val="21"/>
          <w:shd w:val="clear" w:color="auto" w:fill="FFFFFF"/>
        </w:rPr>
      </w:pPr>
      <w:r>
        <w:rPr>
          <w:rFonts w:hint="eastAsia" w:ascii="宋体" w:hAnsi="宋体" w:eastAsia="宋体" w:cs="宋体"/>
          <w:b w:val="0"/>
          <w:bCs/>
          <w:color w:val="000000" w:themeColor="text1"/>
          <w:sz w:val="21"/>
          <w:szCs w:val="21"/>
          <w14:textFill>
            <w14:solidFill>
              <w14:schemeClr w14:val="tx1"/>
            </w14:solidFill>
          </w14:textFill>
        </w:rPr>
        <w:t>星号项</w:t>
      </w:r>
      <w:r>
        <w:rPr>
          <w:rFonts w:hint="eastAsia" w:ascii="宋体" w:hAnsi="宋体" w:eastAsia="宋体" w:cs="宋体"/>
          <w:b w:val="0"/>
          <w:bCs/>
          <w:color w:val="000000" w:themeColor="text1"/>
          <w:sz w:val="21"/>
          <w:szCs w:val="21"/>
          <w:lang w:val="en-US" w:eastAsia="zh-CN"/>
          <w14:textFill>
            <w14:solidFill>
              <w14:schemeClr w14:val="tx1"/>
            </w14:solidFill>
          </w14:textFill>
        </w:rPr>
        <w:t>的补充</w:t>
      </w:r>
      <w:r>
        <w:rPr>
          <w:rFonts w:hint="eastAsia" w:ascii="宋体" w:hAnsi="宋体" w:eastAsia="宋体" w:cs="宋体"/>
          <w:b w:val="0"/>
          <w:bCs/>
          <w:color w:val="000000" w:themeColor="text1"/>
          <w:sz w:val="21"/>
          <w:szCs w:val="21"/>
          <w14:textFill>
            <w14:solidFill>
              <w14:schemeClr w14:val="tx1"/>
            </w14:solidFill>
          </w14:textFill>
        </w:rPr>
        <w:t>材料</w:t>
      </w:r>
      <w:r>
        <w:rPr>
          <w:rFonts w:hint="eastAsia" w:ascii="宋体" w:hAnsi="宋体" w:eastAsia="宋体" w:cs="宋体"/>
          <w:b w:val="0"/>
          <w:bCs/>
          <w:color w:val="000000" w:themeColor="text1"/>
          <w:sz w:val="21"/>
          <w:szCs w:val="21"/>
          <w:lang w:eastAsia="zh-CN"/>
          <w14:textFill>
            <w14:solidFill>
              <w14:schemeClr w14:val="tx1"/>
            </w14:solidFill>
          </w14:textFill>
        </w:rPr>
        <w:t>（</w:t>
      </w:r>
      <w:r>
        <w:rPr>
          <w:rFonts w:hint="eastAsia" w:ascii="宋体" w:hAnsi="宋体" w:eastAsia="宋体" w:cs="宋体"/>
          <w:b w:val="0"/>
          <w:bCs/>
          <w:color w:val="000000" w:themeColor="text1"/>
          <w:sz w:val="21"/>
          <w:szCs w:val="21"/>
          <w:lang w:val="en-US" w:eastAsia="zh-CN"/>
          <w14:textFill>
            <w14:solidFill>
              <w14:schemeClr w14:val="tx1"/>
            </w14:solidFill>
          </w14:textFill>
        </w:rPr>
        <w:t>必须提供</w:t>
      </w:r>
      <w:r>
        <w:rPr>
          <w:rFonts w:hint="eastAsia" w:ascii="宋体" w:hAnsi="宋体" w:eastAsia="宋体" w:cs="宋体"/>
          <w:b w:val="0"/>
          <w:bCs/>
          <w:color w:val="000000" w:themeColor="text1"/>
          <w:sz w:val="21"/>
          <w:szCs w:val="21"/>
          <w:lang w:eastAsia="zh-CN"/>
          <w14:textFill>
            <w14:solidFill>
              <w14:schemeClr w14:val="tx1"/>
            </w14:solidFill>
          </w14:textFill>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rPr>
        <w:t>★</w:t>
      </w: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不接受二次报价！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abstractNum w:abstractNumId="1">
    <w:nsid w:val="21673010"/>
    <w:multiLevelType w:val="multilevel"/>
    <w:tmpl w:val="21673010"/>
    <w:lvl w:ilvl="0" w:tentative="0">
      <w:start w:val="1"/>
      <w:numFmt w:val="decimal"/>
      <w:lvlText w:val="（%1）"/>
      <w:lvlJc w:val="left"/>
      <w:pPr>
        <w:ind w:left="1271" w:hanging="420"/>
      </w:pPr>
      <w:rPr>
        <w:rFonts w:hint="default"/>
        <w:lang w:val="en-US"/>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64E7A"/>
    <w:rsid w:val="028556B7"/>
    <w:rsid w:val="07DA32B4"/>
    <w:rsid w:val="08A34998"/>
    <w:rsid w:val="09F754EE"/>
    <w:rsid w:val="0B510B58"/>
    <w:rsid w:val="112C371A"/>
    <w:rsid w:val="13BD5E07"/>
    <w:rsid w:val="150D306F"/>
    <w:rsid w:val="16840B5D"/>
    <w:rsid w:val="1B690EB4"/>
    <w:rsid w:val="1E85491F"/>
    <w:rsid w:val="1EE8533A"/>
    <w:rsid w:val="22A137D7"/>
    <w:rsid w:val="28E021A3"/>
    <w:rsid w:val="2A8F77B2"/>
    <w:rsid w:val="2E6D4436"/>
    <w:rsid w:val="304D6B9A"/>
    <w:rsid w:val="363C5DBE"/>
    <w:rsid w:val="364856C4"/>
    <w:rsid w:val="37767FF3"/>
    <w:rsid w:val="384B4B5F"/>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C2020FD"/>
    <w:rsid w:val="5C762863"/>
    <w:rsid w:val="5D190260"/>
    <w:rsid w:val="5DCB631F"/>
    <w:rsid w:val="61162DC6"/>
    <w:rsid w:val="61464E75"/>
    <w:rsid w:val="64D872AD"/>
    <w:rsid w:val="692C7A3B"/>
    <w:rsid w:val="6A1E1172"/>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2026-06-23T02:31:06Z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