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大模型与具身智能城市场景产教融合课程平台</w:t>
      </w:r>
    </w:p>
    <w:tbl>
      <w:tblPr>
        <w:tblStyle w:val="10"/>
        <w:tblpPr w:leftFromText="180" w:rightFromText="180" w:vertAnchor="text" w:horzAnchor="page" w:tblpX="2151" w:tblpY="29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28"/>
        <w:gridCol w:w="42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预算金额</w:t>
            </w:r>
            <w:r>
              <w:rPr>
                <w:rFonts w:hint="eastAsia" w:ascii="宋体" w:hAnsi="宋体" w:eastAsia="宋体" w:cs="宋体"/>
                <w:szCs w:val="21"/>
              </w:rPr>
              <w:br w:type="textWrapping"/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shd w:val="clear" w:color="auto" w:fill="FFFFFF"/>
              </w:rPr>
              <w:t>（</w:t>
            </w:r>
            <w:r>
              <w:rPr>
                <w:rStyle w:val="12"/>
                <w:rFonts w:hint="eastAsia" w:ascii="宋体" w:hAnsi="宋体" w:eastAsia="宋体" w:cs="宋体"/>
                <w:b w:val="0"/>
                <w:color w:val="000000"/>
                <w:szCs w:val="21"/>
                <w:shd w:val="clear" w:color="auto" w:fill="FFFFFF"/>
              </w:rPr>
              <w:t>超过采购预算报价不予接受）</w:t>
            </w:r>
          </w:p>
        </w:tc>
        <w:tc>
          <w:tcPr>
            <w:tcW w:w="4289" w:type="dxa"/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100000元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项目编号</w:t>
            </w:r>
          </w:p>
        </w:tc>
        <w:tc>
          <w:tcPr>
            <w:tcW w:w="4289" w:type="dxa"/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ZCJJ-2026-015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项目时限</w:t>
            </w:r>
          </w:p>
        </w:tc>
        <w:tc>
          <w:tcPr>
            <w:tcW w:w="4289" w:type="dxa"/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合同签订后5个月内完成交付。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付款方式</w:t>
            </w:r>
          </w:p>
        </w:tc>
        <w:tc>
          <w:tcPr>
            <w:tcW w:w="4289" w:type="dxa"/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项目终验合格后支付100%。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报价截止日期</w:t>
            </w:r>
          </w:p>
        </w:tc>
        <w:tc>
          <w:tcPr>
            <w:tcW w:w="4289" w:type="dxa"/>
            <w:vAlign w:val="center"/>
          </w:tcPr>
          <w:p>
            <w:pPr>
              <w:tabs>
                <w:tab w:val="left" w:pos="859"/>
              </w:tabs>
              <w:spacing w:line="360" w:lineRule="auto"/>
              <w:ind w:firstLine="420" w:firstLineChars="200"/>
              <w:jc w:val="center"/>
              <w:rPr>
                <w:rFonts w:hint="default" w:ascii="宋体" w:hAnsi="宋体" w:eastAsia="宋体" w:cs="宋体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  <w:lang w:val="en-US" w:eastAsia="zh-CN"/>
              </w:rPr>
              <w:t>2026年7月6日</w:t>
            </w:r>
          </w:p>
        </w:tc>
      </w:tr>
    </w:tbl>
    <w:p>
      <w:pPr>
        <w:spacing w:line="360" w:lineRule="auto"/>
        <w:ind w:firstLine="420" w:firstLineChars="200"/>
        <w:rPr>
          <w:rFonts w:hint="eastAsia" w:ascii="宋体" w:hAnsi="宋体" w:eastAsia="宋体" w:cs="宋体"/>
          <w:color w:val="000000"/>
          <w:szCs w:val="21"/>
          <w:shd w:val="clear" w:color="auto" w:fill="FFFFFF"/>
        </w:rPr>
      </w:pP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color w:val="000000"/>
          <w:szCs w:val="21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firstLine="422" w:firstLineChars="200"/>
        <w:jc w:val="center"/>
        <w:rPr>
          <w:rFonts w:cs="宋体"/>
          <w:color w:val="000000"/>
          <w:sz w:val="21"/>
          <w:szCs w:val="21"/>
        </w:rPr>
      </w:pPr>
      <w:r>
        <w:rPr>
          <w:rStyle w:val="12"/>
          <w:rFonts w:cs="宋体"/>
          <w:b/>
          <w:color w:val="000000"/>
          <w:sz w:val="21"/>
          <w:szCs w:val="21"/>
          <w:shd w:val="clear" w:color="auto" w:fill="FFFFFF"/>
        </w:rPr>
        <w:t>竞价公告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  <w:shd w:val="clear" w:color="auto" w:fill="FFFFFF"/>
        </w:rPr>
        <w:t>根据《中华人民共和国政府采购法》及相关法律、法规之规定，对本</w:t>
      </w:r>
      <w:r>
        <w:rPr>
          <w:rFonts w:hint="eastAsia" w:ascii="宋体" w:hAnsi="宋体" w:eastAsia="宋体" w:cs="宋体"/>
          <w:kern w:val="0"/>
          <w:szCs w:val="21"/>
        </w:rPr>
        <w:t>项目</w:t>
      </w:r>
      <w:r>
        <w:rPr>
          <w:rFonts w:hint="eastAsia" w:ascii="宋体" w:hAnsi="宋体" w:eastAsia="宋体" w:cs="宋体"/>
          <w:color w:val="000000"/>
          <w:szCs w:val="21"/>
          <w:shd w:val="clear" w:color="auto" w:fill="FFFFFF"/>
        </w:rPr>
        <w:t>进行公开竞价，特邀请合格的供应商前来参加竞价。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2" w:firstLineChars="20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Style w:val="12"/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一、合格的供应商必须具备以下条件：</w:t>
      </w:r>
    </w:p>
    <w:p>
      <w:pPr>
        <w:pStyle w:val="8"/>
        <w:widowControl/>
        <w:shd w:val="clear" w:color="auto" w:fill="FFFFFF"/>
        <w:spacing w:beforeAutospacing="0" w:after="150" w:afterAutospacing="0" w:line="360" w:lineRule="auto"/>
        <w:ind w:firstLine="420" w:firstLineChars="20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1.符合《中华人民共和国政府采购法》第二十二条规定的供应商。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2" w:firstLineChars="20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Style w:val="12"/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二、项目需求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2" w:firstLineChars="200"/>
        <w:rPr>
          <w:rFonts w:hint="eastAsia" w:ascii="宋体" w:hAnsi="宋体" w:eastAsia="宋体" w:cs="宋体"/>
          <w:b/>
          <w:bCs/>
          <w:color w:val="000000"/>
          <w:sz w:val="21"/>
          <w:szCs w:val="21"/>
          <w:highlight w:val="yellow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highlight w:val="yellow"/>
          <w:shd w:val="clear" w:color="auto" w:fill="FFFFFF"/>
        </w:rPr>
        <w:t>项目主要内容、数量及简要规格描述或项目基本概况介绍：</w:t>
      </w:r>
    </w:p>
    <w:p>
      <w:pPr>
        <w:spacing w:after="20" w:line="360" w:lineRule="auto"/>
        <w:ind w:firstLine="422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（一）平台系统设计与内容架构</w:t>
      </w:r>
    </w:p>
    <w:p>
      <w:pPr>
        <w:spacing w:after="20"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本项目主要围绕“大模型与具身智能在智慧城市建设场景中的应用”，在已有共性技术字典底座平台的基础上，重点构建大模型与具身智能资源包、理实一体化课程资源模块，以及建设大模型与具身智能教具智能体，构建面向职业教育、企业培训及教学展示的资源体系。</w:t>
      </w:r>
    </w:p>
    <w:p>
      <w:pPr>
        <w:spacing w:after="20"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1.大模型与具身智能资源包建设</w:t>
      </w:r>
    </w:p>
    <w:p>
      <w:pPr>
        <w:spacing w:after="20"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1.1资源包内容：整合智慧城市场景相关大模型与具身智能的应用资料，</w:t>
      </w:r>
      <w:r>
        <w:rPr>
          <w:rFonts w:ascii="宋体" w:hAnsi="宋体" w:eastAsia="宋体" w:cs="宋体"/>
          <w:szCs w:val="21"/>
        </w:rPr>
        <w:t>开发城市场景实训案例集</w:t>
      </w:r>
      <w:r>
        <w:rPr>
          <w:rFonts w:hint="eastAsia" w:ascii="宋体" w:hAnsi="宋体" w:eastAsia="宋体" w:cs="宋体"/>
          <w:szCs w:val="21"/>
        </w:rPr>
        <w:t>，形成</w:t>
      </w:r>
      <w:r>
        <w:rPr>
          <w:rFonts w:ascii="宋体" w:hAnsi="宋体" w:eastAsia="宋体" w:cs="宋体"/>
          <w:szCs w:val="21"/>
        </w:rPr>
        <w:t>大模型技术与场景智能具身智能资源库应用指南</w:t>
      </w:r>
      <w:r>
        <w:rPr>
          <w:rFonts w:hint="eastAsia" w:ascii="宋体" w:hAnsi="宋体" w:eastAsia="宋体" w:cs="宋体"/>
          <w:szCs w:val="21"/>
        </w:rPr>
        <w:t>。</w:t>
      </w:r>
    </w:p>
    <w:p>
      <w:pPr>
        <w:spacing w:after="20"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1.2资源包用途：为智能体（RAG模式）提供示范数据与知识基础，实现知识查询与教学辅助； </w:t>
      </w:r>
    </w:p>
    <w:p>
      <w:pPr>
        <w:spacing w:after="20"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1.3资源管理：支持资源分类、标签、检索及在线预览功能，便于教师和学生使用。</w:t>
      </w:r>
    </w:p>
    <w:p>
      <w:pPr>
        <w:spacing w:after="20" w:line="360" w:lineRule="auto"/>
        <w:ind w:firstLine="420" w:firstLineChars="200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2.理实一体化课程资源建设</w:t>
      </w:r>
    </w:p>
    <w:p>
      <w:pPr>
        <w:spacing w:after="20"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2.1课程类型：制作面向职业院校师生的教学文档资源、课程课件资源；</w:t>
      </w:r>
    </w:p>
    <w:p>
      <w:pPr>
        <w:spacing w:after="20"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</w:rPr>
      </w:pPr>
      <w:r>
        <w:rPr>
          <w:rFonts w:hint="eastAsia" w:ascii="宋体" w:hAnsi="宋体" w:eastAsia="宋体" w:cs="宋体"/>
          <w:szCs w:val="21"/>
        </w:rPr>
        <w:t>2.2分层课程体系：包含基础认知、技术应用和项目实训课程材</w:t>
      </w:r>
      <w:r>
        <w:rPr>
          <w:rFonts w:hint="eastAsia" w:ascii="宋体" w:hAnsi="宋体" w:eastAsia="宋体" w:cs="宋体"/>
          <w:color w:val="auto"/>
          <w:szCs w:val="21"/>
        </w:rPr>
        <w:t>料</w:t>
      </w:r>
      <w:r>
        <w:rPr>
          <w:color w:val="auto"/>
        </w:rPr>
        <w:t>，支撑数字人才培养、培训、实习就业和技能认证</w:t>
      </w:r>
      <w:r>
        <w:rPr>
          <w:rFonts w:hint="eastAsia" w:ascii="宋体" w:hAnsi="宋体" w:eastAsia="宋体" w:cs="宋体"/>
          <w:color w:val="auto"/>
          <w:szCs w:val="21"/>
        </w:rPr>
        <w:t xml:space="preserve">； </w:t>
      </w:r>
    </w:p>
    <w:p>
      <w:pPr>
        <w:spacing w:after="20"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2.3课程资源管理：支持课程目标查看、资料分类、在线浏览、下载及学习记录查看。</w:t>
      </w:r>
    </w:p>
    <w:p>
      <w:pPr>
        <w:spacing w:after="20"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3. 资源库应用指南</w:t>
      </w:r>
    </w:p>
    <w:p>
      <w:pPr>
        <w:spacing w:after="20"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3.1资源库说明：提供资源使用说明书，明确资源结构、检索方式及应用方法； </w:t>
      </w:r>
    </w:p>
    <w:p>
      <w:pPr>
        <w:spacing w:after="20"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3.2教学应用指南：指导教师和学生在案例资源知识库平台中访问、学习及使用各类资源包；</w:t>
      </w:r>
    </w:p>
    <w:p>
      <w:pPr>
        <w:spacing w:after="20"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3.3示范操作：提供典型操作示例及注意事项，便于快速上手。</w:t>
      </w:r>
    </w:p>
    <w:p>
      <w:pPr>
        <w:spacing w:after="20"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4. 知识库集成模块</w:t>
      </w:r>
    </w:p>
    <w:p>
      <w:pPr>
        <w:spacing w:after="20"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4.1知识库能力：训练智能体实现知识检索、案例问答及教学辅助功能，支持不同用户身份（教师、学生）鉴权使用； </w:t>
      </w:r>
    </w:p>
    <w:p>
      <w:pPr>
        <w:spacing w:after="20"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4.2示范应用：知识库用于教学演示、实验指导和资源检索，重点展示可运行和交互能力。</w:t>
      </w:r>
    </w:p>
    <w:p>
      <w:pPr>
        <w:spacing w:after="20" w:line="360" w:lineRule="auto"/>
        <w:ind w:firstLine="422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（二）交付成果</w:t>
      </w:r>
    </w:p>
    <w:p>
      <w:pPr>
        <w:spacing w:after="20"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1.课程资源交付：</w:t>
      </w:r>
    </w:p>
    <w:p>
      <w:pPr>
        <w:spacing w:after="20"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1.1《大模型与具身智能资源包》（案例集资源包）1份；《理实一体化课程资源》1份；《大模型与具身智能资源库应用指南》1份；</w:t>
      </w:r>
    </w:p>
    <w:p>
      <w:pPr>
        <w:spacing w:after="20"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2.知识库软件交付：大模型与具身智能教具知识库软件1套（含资源包RAG）；</w:t>
      </w:r>
    </w:p>
    <w:p>
      <w:pPr>
        <w:spacing w:after="20"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3.文档及知识产权：</w:t>
      </w:r>
    </w:p>
    <w:p>
      <w:pPr>
        <w:spacing w:after="20"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3.1《结项报告》1份，包含项目执行情况、成果清单、应用推广建议等</w:t>
      </w:r>
    </w:p>
    <w:p>
      <w:pPr>
        <w:spacing w:after="20"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3.2《验收单》及相关支撑材料</w:t>
      </w:r>
    </w:p>
    <w:p>
      <w:pPr>
        <w:spacing w:after="20"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3.3软件著作权1项</w:t>
      </w:r>
    </w:p>
    <w:p>
      <w:pPr>
        <w:spacing w:after="20"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3.4开源资源库访问地址及使用说明</w:t>
      </w:r>
    </w:p>
    <w:p>
      <w:pPr>
        <w:spacing w:after="20" w:line="360" w:lineRule="auto"/>
        <w:ind w:firstLine="422" w:firstLineChars="200"/>
        <w:rPr>
          <w:rFonts w:hint="eastAsia" w:ascii="宋体" w:hAnsi="宋体" w:eastAsia="宋体" w:cs="宋体"/>
          <w:b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（三）项目实施说明</w:t>
      </w:r>
    </w:p>
    <w:p>
      <w:pPr>
        <w:spacing w:after="20"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1.本项目重点围绕“大模型语料技术与具身智能城市场景应用”开展教学资源建设、知识组织、课程支撑及场景应用展示。</w:t>
      </w:r>
    </w:p>
    <w:p>
      <w:pPr>
        <w:spacing w:after="20"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2.项目实施过程中涉及的在线模型服务、知识检索服务及相关云端能力，主要用于项目建设、教学展示及功能验证。</w:t>
      </w:r>
    </w:p>
    <w:p>
      <w:pPr>
        <w:spacing w:after="20"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3.项目验收后，如需持续开展在线模型服务、知识库扩展、课程资源更新或相关运营服务，可根据实际需求另行开展扩展建设。</w:t>
      </w:r>
    </w:p>
    <w:p>
      <w:pPr>
        <w:spacing w:after="20"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4.本项目交付内容不包含长期在线运营服务、持续算力资源保障及第三方商业服务持续授权。</w:t>
      </w:r>
    </w:p>
    <w:p>
      <w:pPr>
        <w:pStyle w:val="2"/>
        <w:spacing w:line="360" w:lineRule="auto"/>
        <w:ind w:firstLine="422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（四）验收标准/方式</w:t>
      </w:r>
    </w:p>
    <w:p>
      <w:pPr>
        <w:spacing w:after="40"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采用交付验收、功能验收、性能验收、资源验收、文档验收和培训验收相结合的方式。验收标准包括：</w:t>
      </w:r>
    </w:p>
    <w:p>
      <w:pPr>
        <w:pStyle w:val="14"/>
        <w:spacing w:after="40" w:line="360" w:lineRule="auto"/>
        <w:ind w:left="0"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1.平台部署：系统部署完成，开发智能体与资源包RAG，兼容原有“共性技术字典底座平台”实现产教融合课程平台功能，并通过验收测试；</w:t>
      </w:r>
    </w:p>
    <w:p>
      <w:pPr>
        <w:pStyle w:val="14"/>
        <w:spacing w:after="40" w:line="360" w:lineRule="auto"/>
        <w:ind w:left="0"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2.兼容既有硬件：本项目不含硬件，但要求软件平台能兼容既有硬件。</w:t>
      </w:r>
    </w:p>
    <w:p>
      <w:pPr>
        <w:pStyle w:val="14"/>
        <w:spacing w:after="40" w:line="360" w:lineRule="auto"/>
        <w:ind w:left="0"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3.资源交付：智慧城市建设场景大模型与具身智能应用资源包资源条目不</w:t>
      </w:r>
      <w:r>
        <w:rPr>
          <w:rFonts w:hint="eastAsia" w:ascii="宋体" w:hAnsi="宋体" w:eastAsia="宋体" w:cs="宋体"/>
          <w:color w:val="auto"/>
          <w:szCs w:val="21"/>
        </w:rPr>
        <w:t>少于1000个</w:t>
      </w:r>
      <w:r>
        <w:rPr>
          <w:rFonts w:hint="eastAsia" w:ascii="宋体" w:hAnsi="宋体" w:eastAsia="宋体" w:cs="宋体"/>
          <w:szCs w:val="21"/>
        </w:rPr>
        <w:t>向量块/切片，实训案例不少于10个；</w:t>
      </w:r>
    </w:p>
    <w:p>
      <w:pPr>
        <w:pStyle w:val="14"/>
        <w:spacing w:after="40" w:line="360" w:lineRule="auto"/>
        <w:ind w:left="0"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4.文档齐全：提交项目相关技术文档，包括系统使用说明、部署说明、资源目录说明、培训材料及项目结项报告等文档资料；</w:t>
      </w:r>
    </w:p>
    <w:p>
      <w:pPr>
        <w:pStyle w:val="14"/>
        <w:spacing w:after="40" w:line="360" w:lineRule="auto"/>
        <w:ind w:left="0"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5.软著申请：获得软件著作权受理通知书；</w:t>
      </w:r>
    </w:p>
    <w:p>
      <w:pPr>
        <w:spacing w:line="360" w:lineRule="auto"/>
        <w:ind w:firstLine="420" w:firstLineChars="200"/>
      </w:pPr>
      <w:r>
        <w:rPr>
          <w:rFonts w:hint="eastAsia" w:ascii="宋体" w:hAnsi="宋体" w:eastAsia="宋体" w:cs="宋体"/>
          <w:szCs w:val="21"/>
        </w:rPr>
        <w:t>培训完成：完成全部培训内容，校方人员考核合格。</w:t>
      </w:r>
    </w:p>
    <w:p>
      <w:pPr>
        <w:spacing w:after="20" w:line="360" w:lineRule="auto"/>
        <w:ind w:firstLine="422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（五）其他要求</w:t>
      </w:r>
    </w:p>
    <w:tbl>
      <w:tblPr>
        <w:tblStyle w:val="9"/>
        <w:tblW w:w="7370" w:type="dxa"/>
        <w:jc w:val="center"/>
        <w:tblBorders>
          <w:top w:val="single" w:color="7F7F7F" w:sz="6" w:space="0"/>
          <w:left w:val="single" w:color="7F7F7F" w:sz="6" w:space="0"/>
          <w:bottom w:val="single" w:color="7F7F7F" w:sz="6" w:space="0"/>
          <w:right w:val="single" w:color="7F7F7F" w:sz="6" w:space="0"/>
          <w:insideH w:val="single" w:color="7F7F7F" w:sz="6" w:space="0"/>
          <w:insideV w:val="single" w:color="7F7F7F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9"/>
        <w:gridCol w:w="6211"/>
      </w:tblGrid>
      <w:tr>
        <w:tblPrEx>
          <w:tblBorders>
            <w:top w:val="single" w:color="7F7F7F" w:sz="6" w:space="0"/>
            <w:left w:val="single" w:color="7F7F7F" w:sz="6" w:space="0"/>
            <w:bottom w:val="single" w:color="7F7F7F" w:sz="6" w:space="0"/>
            <w:right w:val="single" w:color="7F7F7F" w:sz="6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159" w:type="dxa"/>
            <w:shd w:val="clear" w:color="auto" w:fill="EAF2F8"/>
            <w:tcMar>
              <w:top w:w="60" w:type="dxa"/>
              <w:left w:w="80" w:type="dxa"/>
              <w:bottom w:w="60" w:type="dxa"/>
              <w:right w:w="80" w:type="dxa"/>
            </w:tcMar>
          </w:tcPr>
          <w:p>
            <w:pPr>
              <w:spacing w:after="40"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报价要求</w:t>
            </w:r>
          </w:p>
        </w:tc>
        <w:tc>
          <w:tcPr>
            <w:tcW w:w="621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>
            <w:pPr>
              <w:spacing w:after="40"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供应商应根据项目需求提供详细的分项报价（软件+服务分别报价），报价应包含完成本项目所需的全部费用（包括但不限于设备费、人工费、差旅费、资料费、知识产权申请费等）。</w:t>
            </w:r>
          </w:p>
        </w:tc>
      </w:tr>
      <w:tr>
        <w:tblPrEx>
          <w:tblBorders>
            <w:top w:val="single" w:color="7F7F7F" w:sz="6" w:space="0"/>
            <w:left w:val="single" w:color="7F7F7F" w:sz="6" w:space="0"/>
            <w:bottom w:val="single" w:color="7F7F7F" w:sz="6" w:space="0"/>
            <w:right w:val="single" w:color="7F7F7F" w:sz="6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9" w:type="dxa"/>
            <w:shd w:val="clear" w:color="auto" w:fill="EAF2F8"/>
            <w:tcMar>
              <w:top w:w="60" w:type="dxa"/>
              <w:left w:w="80" w:type="dxa"/>
              <w:bottom w:w="60" w:type="dxa"/>
              <w:right w:w="80" w:type="dxa"/>
            </w:tcMar>
          </w:tcPr>
          <w:p>
            <w:pPr>
              <w:spacing w:after="40"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售后服务</w:t>
            </w:r>
          </w:p>
        </w:tc>
        <w:tc>
          <w:tcPr>
            <w:tcW w:w="621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>
            <w:pPr>
              <w:spacing w:after="40"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软件平台提供不少于1年的免费维护服务，包括平台运维、内容更新、技术咨询等。</w:t>
            </w:r>
          </w:p>
        </w:tc>
      </w:tr>
      <w:tr>
        <w:tblPrEx>
          <w:tblBorders>
            <w:top w:val="single" w:color="7F7F7F" w:sz="6" w:space="0"/>
            <w:left w:val="single" w:color="7F7F7F" w:sz="6" w:space="0"/>
            <w:bottom w:val="single" w:color="7F7F7F" w:sz="6" w:space="0"/>
            <w:right w:val="single" w:color="7F7F7F" w:sz="6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9" w:type="dxa"/>
            <w:shd w:val="clear" w:color="auto" w:fill="EAF2F8"/>
            <w:tcMar>
              <w:top w:w="60" w:type="dxa"/>
              <w:left w:w="80" w:type="dxa"/>
              <w:bottom w:w="60" w:type="dxa"/>
              <w:right w:w="80" w:type="dxa"/>
            </w:tcMar>
          </w:tcPr>
          <w:p>
            <w:pPr>
              <w:spacing w:after="40"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保密要求</w:t>
            </w:r>
          </w:p>
        </w:tc>
        <w:tc>
          <w:tcPr>
            <w:tcW w:w="621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>
            <w:pPr>
              <w:spacing w:after="40"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供应商应对项目过程中接触到的学校相关信息和数据承担保密义务，未经书面许可不得向第三方披露。</w:t>
            </w:r>
          </w:p>
        </w:tc>
      </w:tr>
      <w:tr>
        <w:tblPrEx>
          <w:tblBorders>
            <w:top w:val="single" w:color="7F7F7F" w:sz="6" w:space="0"/>
            <w:left w:val="single" w:color="7F7F7F" w:sz="6" w:space="0"/>
            <w:bottom w:val="single" w:color="7F7F7F" w:sz="6" w:space="0"/>
            <w:right w:val="single" w:color="7F7F7F" w:sz="6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9" w:type="dxa"/>
            <w:shd w:val="clear" w:color="auto" w:fill="EAF2F8"/>
            <w:tcMar>
              <w:top w:w="60" w:type="dxa"/>
              <w:left w:w="80" w:type="dxa"/>
              <w:bottom w:w="60" w:type="dxa"/>
              <w:right w:w="80" w:type="dxa"/>
            </w:tcMar>
          </w:tcPr>
          <w:p>
            <w:pPr>
              <w:spacing w:after="40"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知识产权</w:t>
            </w:r>
          </w:p>
        </w:tc>
        <w:tc>
          <w:tcPr>
            <w:tcW w:w="621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>
            <w:pPr>
              <w:spacing w:after="40"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项目产生的知识产权归上海城建职业学院所有，供应商享有署名权。</w:t>
            </w:r>
          </w:p>
        </w:tc>
      </w:tr>
      <w:tr>
        <w:tblPrEx>
          <w:tblBorders>
            <w:top w:val="single" w:color="7F7F7F" w:sz="6" w:space="0"/>
            <w:left w:val="single" w:color="7F7F7F" w:sz="6" w:space="0"/>
            <w:bottom w:val="single" w:color="7F7F7F" w:sz="6" w:space="0"/>
            <w:right w:val="single" w:color="7F7F7F" w:sz="6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9" w:type="dxa"/>
            <w:shd w:val="clear" w:color="auto" w:fill="EAF2F8"/>
            <w:tcMar>
              <w:top w:w="60" w:type="dxa"/>
              <w:left w:w="80" w:type="dxa"/>
              <w:bottom w:w="60" w:type="dxa"/>
              <w:right w:w="80" w:type="dxa"/>
            </w:tcMar>
          </w:tcPr>
          <w:p>
            <w:pPr>
              <w:spacing w:after="40"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培训要求</w:t>
            </w:r>
          </w:p>
        </w:tc>
        <w:tc>
          <w:tcPr>
            <w:tcW w:w="621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>
            <w:pPr>
              <w:spacing w:after="40"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供应商应提供不少于3次的技术培训（含平台使用、课程开发），每次不少于4学时，确保校方人员能够独立使用和维护平台。</w:t>
            </w:r>
          </w:p>
        </w:tc>
      </w:tr>
      <w:tr>
        <w:tblPrEx>
          <w:tblBorders>
            <w:top w:val="single" w:color="7F7F7F" w:sz="6" w:space="0"/>
            <w:left w:val="single" w:color="7F7F7F" w:sz="6" w:space="0"/>
            <w:bottom w:val="single" w:color="7F7F7F" w:sz="6" w:space="0"/>
            <w:right w:val="single" w:color="7F7F7F" w:sz="6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" w:hRule="atLeast"/>
          <w:jc w:val="center"/>
        </w:trPr>
        <w:tc>
          <w:tcPr>
            <w:tcW w:w="1159" w:type="dxa"/>
            <w:shd w:val="clear" w:color="auto" w:fill="EAF2F8"/>
            <w:tcMar>
              <w:top w:w="60" w:type="dxa"/>
              <w:left w:w="80" w:type="dxa"/>
              <w:bottom w:w="60" w:type="dxa"/>
              <w:right w:w="80" w:type="dxa"/>
            </w:tcMar>
          </w:tcPr>
          <w:p>
            <w:pPr>
              <w:spacing w:after="40"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补充材料（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★星号项材料必须提供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）</w:t>
            </w:r>
          </w:p>
        </w:tc>
        <w:tc>
          <w:tcPr>
            <w:tcW w:w="621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spacing w:after="40" w:line="360" w:lineRule="auto"/>
              <w:ind w:firstLine="422" w:firstLineChars="200"/>
              <w:jc w:val="left"/>
              <w:rPr>
                <w:rFonts w:hint="eastAsia" w:ascii="宋体" w:hAnsi="宋体" w:eastAsia="宋体" w:cs="宋体"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1"/>
              </w:rPr>
              <w:t>★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>具有人工智能（大模型、强化学习方向）、数字城市(BIM、CIM方向)、具生智能（机器人、物联网传感器方向）相关领域项目经验，提供不少于1个项目案例。</w:t>
            </w:r>
          </w:p>
          <w:p>
            <w:pPr>
              <w:spacing w:after="40" w:line="360" w:lineRule="auto"/>
              <w:ind w:firstLine="422" w:firstLineChars="20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1"/>
              </w:rPr>
              <w:t>★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>具有人工智能（大模型、强化学习方向）、数字城市(BIM、CIM方向)、具生智能（机器人、物联网传感器方向）相关领域技术能力，提供不少于3个该领域已授权的发明专利证明。</w:t>
            </w:r>
          </w:p>
        </w:tc>
      </w:tr>
    </w:tbl>
    <w:p>
      <w:pPr>
        <w:pStyle w:val="8"/>
        <w:widowControl/>
        <w:shd w:val="clear" w:color="auto" w:fill="FFFFFF"/>
        <w:spacing w:beforeAutospacing="0" w:afterAutospacing="0"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</w:p>
    <w:p>
      <w:pPr>
        <w:pStyle w:val="8"/>
        <w:widowControl/>
        <w:shd w:val="clear" w:color="auto" w:fill="FFFFFF"/>
        <w:spacing w:beforeAutospacing="0" w:after="150" w:afterAutospacing="0" w:line="360" w:lineRule="auto"/>
        <w:ind w:firstLine="422" w:firstLineChars="200"/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shd w:val="clear" w:color="auto" w:fill="FFFFFF"/>
        </w:rPr>
        <w:t>三、违约责任：</w:t>
      </w:r>
    </w:p>
    <w:p>
      <w:pPr>
        <w:pStyle w:val="8"/>
        <w:widowControl/>
        <w:shd w:val="clear" w:color="auto" w:fill="FFFFFF"/>
        <w:spacing w:beforeAutospacing="0" w:after="150" w:afterAutospacing="0" w:line="360" w:lineRule="auto"/>
        <w:ind w:firstLine="420" w:firstLineChars="20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1.采购单位与成交供应商应认真履行合同，由于某一方的过失使合同不能履行或造成其它后果的，由过失方承担相应责任；如在项目实施过程中，成交供应商违约情节严重，采购单位有权终止合同，由此造成采购单位的经济损失由成交供应商承担。如属双方过失，则根据各自过失的大小，分别承担相应的责任。</w:t>
      </w:r>
    </w:p>
    <w:p>
      <w:pPr>
        <w:pStyle w:val="8"/>
        <w:widowControl/>
        <w:shd w:val="clear" w:color="auto" w:fill="FFFFFF"/>
        <w:spacing w:beforeAutospacing="0" w:after="150" w:afterAutospacing="0" w:line="360" w:lineRule="auto"/>
        <w:ind w:firstLine="420" w:firstLineChars="20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2.由于不可抗力造成合同不能履行时，采购单位与成交供应商均不承担任如造成任何一方损失的，则由损失方自理。</w:t>
      </w:r>
    </w:p>
    <w:p>
      <w:pPr>
        <w:pStyle w:val="8"/>
        <w:widowControl/>
        <w:shd w:val="clear" w:color="auto" w:fill="FFFFFF"/>
        <w:spacing w:beforeAutospacing="0" w:after="150" w:afterAutospacing="0" w:line="360" w:lineRule="auto"/>
        <w:ind w:firstLine="420" w:firstLineChars="20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3.采购单位与成交供应商在执行合同过程中所发生的争议，应先通过友好协商解决，协商不成时，任何一方有权诉诸人民法院。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0" w:firstLineChars="200"/>
        <w:jc w:val="both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4.采购项目需要落实的政府采购政策情况：推行节能产品政府采购。推行环境标志产品政府采购。促进中小企业、监狱企业、残疾人福利性单位发展。规范进口产品采购政策。推行无线局域网产品政府采购。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0" w:firstLineChars="200"/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0" w:firstLineChars="200"/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0" w:firstLineChars="200"/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8"/>
        <w:widowControl/>
        <w:shd w:val="clear" w:color="auto" w:fill="FFFFFF"/>
        <w:spacing w:beforeAutospacing="0" w:afterAutospacing="0" w:line="360" w:lineRule="auto"/>
        <w:ind w:left="420" w:leftChars="200" w:firstLine="422" w:firstLineChars="200"/>
        <w:rPr>
          <w:rStyle w:val="12"/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8"/>
        <w:widowControl/>
        <w:shd w:val="clear" w:color="auto" w:fill="FFFFFF"/>
        <w:spacing w:beforeAutospacing="0" w:afterAutospacing="0" w:line="360" w:lineRule="auto"/>
        <w:ind w:left="420" w:leftChars="200" w:firstLine="422" w:firstLineChars="200"/>
        <w:rPr>
          <w:rStyle w:val="12"/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</w:pPr>
      <w:bookmarkStart w:id="0" w:name="_GoBack"/>
      <w:bookmarkEnd w:id="0"/>
      <w:r>
        <w:rPr>
          <w:rStyle w:val="12"/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四、报价文件的要求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Style w:val="12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2"/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报价清单（按照本项目具体的需求做出详细报价清单及报价明细，盖章并留好联系人及联系电话）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Style w:val="12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营业执照复印件（盖章）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Style w:val="12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星号项的材料证明（必须提供）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</w:rPr>
        <w:t>★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报价文件必须做好密封处理：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正面写好项目名称，公司名称，报价日期，联系人，联系电话。背面贴好封条并盖章，否则将视为无效报价。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default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不接受二次报价！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left="420" w:firstLine="420" w:firstLineChars="200"/>
        <w:jc w:val="both"/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8"/>
        <w:widowControl/>
        <w:shd w:val="clear" w:color="auto" w:fill="FFFFFF"/>
        <w:spacing w:beforeAutospacing="0" w:afterAutospacing="0" w:line="360" w:lineRule="auto"/>
        <w:ind w:left="420" w:leftChars="200" w:firstLine="422" w:firstLineChars="200"/>
        <w:rPr>
          <w:rStyle w:val="12"/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12"/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五、报价文件的递交方式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0" w:firstLineChars="200"/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报价文件递交地点（可发快递）：上海市奉贤区南亭公路2080号图文楼206室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0" w:firstLineChars="200"/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收件人：钱老师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0" w:firstLineChars="200"/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电话：13501712906  021-57401582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0" w:firstLineChars="200"/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4D7F"/>
    <w:multiLevelType w:val="singleLevel"/>
    <w:tmpl w:val="01844D7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727"/>
    <w:rsid w:val="0009213C"/>
    <w:rsid w:val="001B58B4"/>
    <w:rsid w:val="001F5B36"/>
    <w:rsid w:val="002759A0"/>
    <w:rsid w:val="002B4F83"/>
    <w:rsid w:val="002F575D"/>
    <w:rsid w:val="00314E25"/>
    <w:rsid w:val="003321E9"/>
    <w:rsid w:val="004E6A1D"/>
    <w:rsid w:val="005436B1"/>
    <w:rsid w:val="006323B2"/>
    <w:rsid w:val="00693C9A"/>
    <w:rsid w:val="006B1A94"/>
    <w:rsid w:val="00890C77"/>
    <w:rsid w:val="009706FB"/>
    <w:rsid w:val="009C55D0"/>
    <w:rsid w:val="00B7280D"/>
    <w:rsid w:val="00B933F6"/>
    <w:rsid w:val="00BE7727"/>
    <w:rsid w:val="00CE4997"/>
    <w:rsid w:val="00CF116B"/>
    <w:rsid w:val="00DA58D9"/>
    <w:rsid w:val="00E0197F"/>
    <w:rsid w:val="00E130F1"/>
    <w:rsid w:val="00EC2CCC"/>
    <w:rsid w:val="00ED1268"/>
    <w:rsid w:val="00F10B73"/>
    <w:rsid w:val="00FD6D2B"/>
    <w:rsid w:val="02434C88"/>
    <w:rsid w:val="028556B7"/>
    <w:rsid w:val="07DA32B4"/>
    <w:rsid w:val="09F754EE"/>
    <w:rsid w:val="0B510B58"/>
    <w:rsid w:val="0C5D4963"/>
    <w:rsid w:val="112C371A"/>
    <w:rsid w:val="13BD5E07"/>
    <w:rsid w:val="150D306F"/>
    <w:rsid w:val="16840B5D"/>
    <w:rsid w:val="1B690EB4"/>
    <w:rsid w:val="1EE8533A"/>
    <w:rsid w:val="20297386"/>
    <w:rsid w:val="22A137D7"/>
    <w:rsid w:val="28E021A3"/>
    <w:rsid w:val="2A8F77B2"/>
    <w:rsid w:val="2E6D4436"/>
    <w:rsid w:val="316F2B6B"/>
    <w:rsid w:val="363C5DBE"/>
    <w:rsid w:val="364856C4"/>
    <w:rsid w:val="37767FF3"/>
    <w:rsid w:val="38B1795F"/>
    <w:rsid w:val="39A24A09"/>
    <w:rsid w:val="3DC75201"/>
    <w:rsid w:val="3DF74F07"/>
    <w:rsid w:val="41716C6B"/>
    <w:rsid w:val="42A15CD6"/>
    <w:rsid w:val="456B6C1D"/>
    <w:rsid w:val="4B03357D"/>
    <w:rsid w:val="4CEF2649"/>
    <w:rsid w:val="51085679"/>
    <w:rsid w:val="550F75BC"/>
    <w:rsid w:val="58957764"/>
    <w:rsid w:val="58D93CB3"/>
    <w:rsid w:val="5A9B2F61"/>
    <w:rsid w:val="5AD0442E"/>
    <w:rsid w:val="5C2020FD"/>
    <w:rsid w:val="5C762863"/>
    <w:rsid w:val="61162DC6"/>
    <w:rsid w:val="64D872AD"/>
    <w:rsid w:val="68561BA6"/>
    <w:rsid w:val="692C7A3B"/>
    <w:rsid w:val="6A1E1172"/>
    <w:rsid w:val="73846B54"/>
    <w:rsid w:val="74822671"/>
    <w:rsid w:val="7A0E0EA0"/>
    <w:rsid w:val="7A411D67"/>
    <w:rsid w:val="7D70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="0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2">
    <w:name w:val="heading 2"/>
    <w:basedOn w:val="1"/>
    <w:next w:val="1"/>
    <w:unhideWhenUsed/>
    <w:qFormat/>
    <w:uiPriority w:val="9"/>
    <w:pPr>
      <w:spacing w:before="260" w:after="260" w:line="412" w:lineRule="auto"/>
      <w:outlineLvl w:val="1"/>
    </w:pPr>
    <w:rPr>
      <w:rFonts w:ascii="Arial" w:hAnsi="Arial" w:eastAsia="黑体"/>
      <w:b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tabs>
        <w:tab w:val="left" w:pos="1260"/>
      </w:tabs>
      <w:spacing w:before="120" w:after="120"/>
      <w:ind w:firstLine="560" w:firstLineChars="200"/>
      <w:jc w:val="left"/>
    </w:pPr>
    <w:rPr>
      <w:rFonts w:ascii="楷体_GB2312" w:hAnsi="宋体" w:eastAsia="楷体_GB2312"/>
      <w:color w:val="000000"/>
      <w:sz w:val="28"/>
    </w:rPr>
  </w:style>
  <w:style w:type="paragraph" w:styleId="6">
    <w:name w:val="footer"/>
    <w:basedOn w:val="1"/>
    <w:link w:val="16"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7">
    <w:name w:val="header"/>
    <w:basedOn w:val="1"/>
    <w:link w:val="15"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Table Text"/>
    <w:basedOn w:val="1"/>
    <w:semiHidden/>
    <w:qFormat/>
    <w:uiPriority w:val="0"/>
    <w:rPr>
      <w:rFonts w:ascii="宋体" w:hAnsi="宋体" w:eastAsia="宋体" w:cs="宋体"/>
      <w:szCs w:val="21"/>
      <w:lang w:eastAsia="en-US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页眉 字符"/>
    <w:basedOn w:val="11"/>
    <w:link w:val="7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字符"/>
    <w:basedOn w:val="11"/>
    <w:link w:val="6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7">
    <w:name w:val="Revision"/>
    <w:hidden/>
    <w:unhideWhenUsed/>
    <w:uiPriority w:val="99"/>
    <w:pPr>
      <w:spacing w:after="0" w:line="240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1421</Words>
  <Characters>1479</Characters>
  <Lines>64</Lines>
  <Paragraphs>65</Paragraphs>
  <TotalTime>1</TotalTime>
  <ScaleCrop>false</ScaleCrop>
  <LinksUpToDate>false</LinksUpToDate>
  <CharactersWithSpaces>2835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2026-06-22T13:39:00Z</dcterms:created>
  <dc:creator>USER</dc:creator>
  <cp:lastModifiedBy>USER</cp:lastModifiedBy>
  <dcterms:modified xsi:type="dcterms:W3CDTF">2026-06-29T00:57:07Z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